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28575</wp:posOffset>
                </wp:positionV>
                <wp:extent cx="6113145" cy="619125"/>
                <wp:effectExtent l="0" t="0" r="1905" b="9525"/>
                <wp:wrapNone/>
                <wp:docPr id="9" name="文本框 9"/>
                <wp:cNvGraphicFramePr/>
                <a:graphic xmlns:a="http://schemas.openxmlformats.org/drawingml/2006/main">
                  <a:graphicData uri="http://schemas.microsoft.com/office/word/2010/wordprocessingShape">
                    <wps:wsp>
                      <wps:cNvSpPr txBox="1"/>
                      <wps:spPr>
                        <a:xfrm>
                          <a:off x="0" y="0"/>
                          <a:ext cx="6113145" cy="619125"/>
                        </a:xfrm>
                        <a:prstGeom prst="rect">
                          <a:avLst/>
                        </a:prstGeom>
                        <a:solidFill>
                          <a:schemeClr val="lt1"/>
                        </a:solidFill>
                        <a:ln w="6350">
                          <a:noFill/>
                        </a:ln>
                      </wps:spPr>
                      <wps:txbx>
                        <w:txbxContent>
                          <w:p>
                            <w:pPr>
                              <w:jc w:val="left"/>
                              <w:rPr>
                                <w:rFonts w:ascii="黑体" w:hAnsi="黑体" w:eastAsia="黑体"/>
                                <w:sz w:val="24"/>
                                <w:highlight w:val="none"/>
                              </w:rPr>
                            </w:pPr>
                            <w:r>
                              <w:rPr>
                                <w:rFonts w:ascii="黑体" w:hAnsi="黑体" w:eastAsia="黑体"/>
                                <w:sz w:val="24"/>
                                <w:highlight w:val="none"/>
                              </w:rPr>
                              <w:t>ICS XX.XXX</w:t>
                            </w:r>
                          </w:p>
                          <w:p>
                            <w:pPr>
                              <w:jc w:val="left"/>
                              <w:rPr>
                                <w:rFonts w:ascii="黑体" w:hAnsi="黑体" w:eastAsia="黑体"/>
                                <w:sz w:val="24"/>
                                <w:highlight w:val="none"/>
                              </w:rPr>
                            </w:pPr>
                            <w:r>
                              <w:rPr>
                                <w:rFonts w:ascii="黑体" w:hAnsi="黑体" w:eastAsia="黑体"/>
                                <w:sz w:val="24"/>
                                <w:highlight w:val="none"/>
                              </w:rPr>
                              <w:t>XXX</w:t>
                            </w:r>
                            <w:r>
                              <w:rPr>
                                <w:rFonts w:hint="eastAsia" w:ascii="黑体" w:hAnsi="黑体" w:eastAsia="黑体"/>
                                <w:sz w:val="24"/>
                                <w:highlight w:val="none"/>
                              </w:rPr>
                              <w:t>/</w:t>
                            </w:r>
                            <w:r>
                              <w:rPr>
                                <w:rFonts w:ascii="黑体" w:hAnsi="黑体" w:eastAsia="黑体"/>
                                <w:sz w:val="24"/>
                                <w:highlight w:val="none"/>
                              </w:rPr>
                              <w:t>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pt;margin-top:2.25pt;height:48.75pt;width:481.35pt;z-index:251666432;mso-width-relative:page;mso-height-relative:page;" fillcolor="#FFFFFF [3201]" filled="t" stroked="f" coordsize="21600,21600" o:gfxdata="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Zwc4g1AAAAAkBAAAPAAAAAAAA&#10;AAEAIAAAACIAAABkcnMvZG93bnJldi54bWxQSwECFAAUAAAACACHTuJAiWX6xk8CAACPBAAADgAA&#10;AAAAAAABACAAAAAjAQAAZHJzL2Uyb0RvYy54bWxQSwUGAAAAAAYABgBZAQAA5AUAAAAA&#10;">
                <v:fill on="t" focussize="0,0"/>
                <v:stroke on="f" weight="0.5pt"/>
                <v:imagedata o:title=""/>
                <o:lock v:ext="edit" aspectratio="f"/>
                <v:textbox>
                  <w:txbxContent>
                    <w:p>
                      <w:pPr>
                        <w:jc w:val="left"/>
                        <w:rPr>
                          <w:rFonts w:ascii="黑体" w:hAnsi="黑体" w:eastAsia="黑体"/>
                          <w:sz w:val="24"/>
                          <w:highlight w:val="none"/>
                        </w:rPr>
                      </w:pPr>
                      <w:r>
                        <w:rPr>
                          <w:rFonts w:ascii="黑体" w:hAnsi="黑体" w:eastAsia="黑体"/>
                          <w:sz w:val="24"/>
                          <w:highlight w:val="none"/>
                        </w:rPr>
                        <w:t>ICS XX.XXX</w:t>
                      </w:r>
                    </w:p>
                    <w:p>
                      <w:pPr>
                        <w:jc w:val="left"/>
                        <w:rPr>
                          <w:rFonts w:ascii="黑体" w:hAnsi="黑体" w:eastAsia="黑体"/>
                          <w:sz w:val="24"/>
                          <w:highlight w:val="none"/>
                        </w:rPr>
                      </w:pPr>
                      <w:r>
                        <w:rPr>
                          <w:rFonts w:ascii="黑体" w:hAnsi="黑体" w:eastAsia="黑体"/>
                          <w:sz w:val="24"/>
                          <w:highlight w:val="none"/>
                        </w:rPr>
                        <w:t>XXX</w:t>
                      </w:r>
                      <w:r>
                        <w:rPr>
                          <w:rFonts w:hint="eastAsia" w:ascii="黑体" w:hAnsi="黑体" w:eastAsia="黑体"/>
                          <w:sz w:val="24"/>
                          <w:highlight w:val="none"/>
                        </w:rPr>
                        <w:t>/</w:t>
                      </w:r>
                      <w:r>
                        <w:rPr>
                          <w:rFonts w:ascii="黑体" w:hAnsi="黑体" w:eastAsia="黑体"/>
                          <w:sz w:val="24"/>
                          <w:highlight w:val="none"/>
                        </w:rPr>
                        <w:t>XX</w:t>
                      </w:r>
                    </w:p>
                  </w:txbxContent>
                </v:textbox>
              </v:shape>
            </w:pict>
          </mc:Fallback>
        </mc:AlternateContent>
      </w:r>
      <w:r>
        <w:rPr>
          <w:highlight w:val="none"/>
        </w:rPr>
        <mc:AlternateContent>
          <mc:Choice Requires="wps">
            <w:drawing>
              <wp:anchor distT="0" distB="0" distL="114300" distR="114300" simplePos="0" relativeHeight="251665408" behindDoc="0" locked="0" layoutInCell="1" allowOverlap="1">
                <wp:simplePos x="0" y="0"/>
                <wp:positionH relativeFrom="column">
                  <wp:posOffset>-452755</wp:posOffset>
                </wp:positionH>
                <wp:positionV relativeFrom="paragraph">
                  <wp:posOffset>-581660</wp:posOffset>
                </wp:positionV>
                <wp:extent cx="6113145" cy="299085"/>
                <wp:effectExtent l="0" t="0" r="1905" b="5715"/>
                <wp:wrapNone/>
                <wp:docPr id="6" name="文本框 6"/>
                <wp:cNvGraphicFramePr/>
                <a:graphic xmlns:a="http://schemas.openxmlformats.org/drawingml/2006/main">
                  <a:graphicData uri="http://schemas.microsoft.com/office/word/2010/wordprocessingShape">
                    <wps:wsp>
                      <wps:cNvSpPr txBox="1"/>
                      <wps:spPr>
                        <a:xfrm>
                          <a:off x="0" y="0"/>
                          <a:ext cx="6113145" cy="299258"/>
                        </a:xfrm>
                        <a:prstGeom prst="rect">
                          <a:avLst/>
                        </a:prstGeom>
                        <a:solidFill>
                          <a:schemeClr val="lt1"/>
                        </a:solidFill>
                        <a:ln w="6350">
                          <a:noFill/>
                        </a:ln>
                      </wps:spPr>
                      <wps:txbx>
                        <w:txbxContent>
                          <w:p>
                            <w:pPr>
                              <w:jc w:val="left"/>
                              <w:rPr>
                                <w:rFonts w:ascii="黑体" w:hAnsi="黑体" w:eastAsia="黑体"/>
                                <w:sz w:val="24"/>
                                <w:highlight w:val="none"/>
                              </w:rPr>
                            </w:pPr>
                            <w:bookmarkStart w:id="113" w:name="_Hlk97855416"/>
                            <w:r>
                              <w:rPr>
                                <w:rFonts w:ascii="黑体" w:hAnsi="黑体" w:eastAsia="黑体"/>
                                <w:sz w:val="24"/>
                                <w:highlight w:val="none"/>
                              </w:rPr>
                              <w:t>T</w:t>
                            </w:r>
                            <w:r>
                              <w:rPr>
                                <w:rFonts w:hint="eastAsia" w:ascii="黑体" w:hAnsi="黑体" w:eastAsia="黑体"/>
                                <w:sz w:val="24"/>
                                <w:highlight w:val="none"/>
                              </w:rPr>
                              <w:t>/</w:t>
                            </w:r>
                            <w:r>
                              <w:rPr>
                                <w:rFonts w:ascii="黑体" w:hAnsi="黑体" w:eastAsia="黑体"/>
                                <w:sz w:val="24"/>
                                <w:highlight w:val="none"/>
                              </w:rPr>
                              <w:t>SDPEA</w:t>
                            </w:r>
                            <w:bookmarkEnd w:id="113"/>
                            <w:r>
                              <w:rPr>
                                <w:rFonts w:ascii="黑体" w:hAnsi="黑体" w:eastAsia="黑体"/>
                                <w:sz w:val="24"/>
                                <w:highlight w:val="none"/>
                              </w:rPr>
                              <w:t xml:space="preserve">  XX.XXX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5pt;margin-top:-45.8pt;height:23.55pt;width:481.35pt;z-index:251665408;mso-width-relative:page;mso-height-relative:page;" fillcolor="#FFFFFF [3201]" filled="t" stroked="f" coordsize="21600,21600" o:gfxdata="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SewBx1gAAAAsBAAAPAAAA&#10;AAAAAAEAIAAAACIAAABkcnMvZG93bnJldi54bWxQSwECFAAUAAAACACHTuJAbZdfVVACAACPBAAA&#10;DgAAAAAAAAABACAAAAAlAQAAZHJzL2Uyb0RvYy54bWxQSwUGAAAAAAYABgBZAQAA5wUAAAAA&#10;">
                <v:fill on="t" focussize="0,0"/>
                <v:stroke on="f" weight="0.5pt"/>
                <v:imagedata o:title=""/>
                <o:lock v:ext="edit" aspectratio="f"/>
                <v:textbox>
                  <w:txbxContent>
                    <w:p>
                      <w:pPr>
                        <w:jc w:val="left"/>
                        <w:rPr>
                          <w:rFonts w:ascii="黑体" w:hAnsi="黑体" w:eastAsia="黑体"/>
                          <w:sz w:val="24"/>
                          <w:highlight w:val="none"/>
                        </w:rPr>
                      </w:pPr>
                      <w:bookmarkStart w:id="113" w:name="_Hlk97855416"/>
                      <w:r>
                        <w:rPr>
                          <w:rFonts w:ascii="黑体" w:hAnsi="黑体" w:eastAsia="黑体"/>
                          <w:sz w:val="24"/>
                          <w:highlight w:val="none"/>
                        </w:rPr>
                        <w:t>T</w:t>
                      </w:r>
                      <w:r>
                        <w:rPr>
                          <w:rFonts w:hint="eastAsia" w:ascii="黑体" w:hAnsi="黑体" w:eastAsia="黑体"/>
                          <w:sz w:val="24"/>
                          <w:highlight w:val="none"/>
                        </w:rPr>
                        <w:t>/</w:t>
                      </w:r>
                      <w:r>
                        <w:rPr>
                          <w:rFonts w:ascii="黑体" w:hAnsi="黑体" w:eastAsia="黑体"/>
                          <w:sz w:val="24"/>
                          <w:highlight w:val="none"/>
                        </w:rPr>
                        <w:t>SDPEA</w:t>
                      </w:r>
                      <w:bookmarkEnd w:id="113"/>
                      <w:r>
                        <w:rPr>
                          <w:rFonts w:ascii="黑体" w:hAnsi="黑体" w:eastAsia="黑体"/>
                          <w:sz w:val="24"/>
                          <w:highlight w:val="none"/>
                        </w:rPr>
                        <w:t xml:space="preserve">  XX.XXX</w:t>
                      </w:r>
                    </w:p>
                  </w:txbxContent>
                </v:textbox>
              </v:shape>
            </w:pict>
          </mc:Fallback>
        </mc:AlternateContent>
      </w:r>
      <w:r>
        <w:rPr>
          <w:rFonts w:ascii="黑体" w:hAnsi="黑体" w:eastAsia="黑体"/>
          <w:sz w:val="32"/>
          <w:szCs w:val="32"/>
          <w:highlight w:val="none"/>
        </w:rPr>
        <mc:AlternateContent>
          <mc:Choice Requires="wps">
            <w:drawing>
              <wp:anchor distT="0" distB="0" distL="114300" distR="114300" simplePos="0" relativeHeight="251664384" behindDoc="0" locked="0" layoutInCell="1" allowOverlap="1">
                <wp:simplePos x="0" y="0"/>
                <wp:positionH relativeFrom="column">
                  <wp:posOffset>-527685</wp:posOffset>
                </wp:positionH>
                <wp:positionV relativeFrom="paragraph">
                  <wp:posOffset>-520065</wp:posOffset>
                </wp:positionV>
                <wp:extent cx="6191250" cy="662305"/>
                <wp:effectExtent l="0" t="0" r="6350" b="0"/>
                <wp:wrapNone/>
                <wp:docPr id="11" name="矩形 11"/>
                <wp:cNvGraphicFramePr/>
                <a:graphic xmlns:a="http://schemas.openxmlformats.org/drawingml/2006/main">
                  <a:graphicData uri="http://schemas.microsoft.com/office/word/2010/wordprocessingShape">
                    <wps:wsp>
                      <wps:cNvSpPr/>
                      <wps:spPr>
                        <a:xfrm flipV="1">
                          <a:off x="0" y="0"/>
                          <a:ext cx="6191250" cy="6621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41.55pt;margin-top:-40.95pt;height:52.15pt;width:487.5pt;z-index:251664384;v-text-anchor:middle;mso-width-relative:page;mso-height-relative:page;" fillcolor="#FFFFFF [3212]" filled="t" stroked="f" coordsize="21600,21600" o:gfxdata="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ysXPI2AAAAAoBAAAPAAAAAAAAAAEAIAAAACIAAABkcnMvZG93bnJl&#10;di54bWxQSwECFAAUAAAACACHTuJAprZX028CAADXBAAADgAAAAAAAAABACAAAAAnAQAAZHJzL2Uy&#10;b0RvYy54bWxQSwUGAAAAAAYABgBZAQAACAYAAAAA&#10;">
                <v:fill on="t" focussize="0,0"/>
                <v:stroke on="f" weight="1pt" miterlimit="8" joinstyle="miter"/>
                <v:imagedata o:title=""/>
                <o:lock v:ext="edit" aspectratio="f"/>
              </v:rect>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column">
                  <wp:posOffset>-463550</wp:posOffset>
                </wp:positionH>
                <wp:positionV relativeFrom="paragraph">
                  <wp:posOffset>-482600</wp:posOffset>
                </wp:positionV>
                <wp:extent cx="1659255" cy="352425"/>
                <wp:effectExtent l="0" t="0" r="5080" b="3175"/>
                <wp:wrapNone/>
                <wp:docPr id="1" name="文本框 1"/>
                <wp:cNvGraphicFramePr/>
                <a:graphic xmlns:a="http://schemas.openxmlformats.org/drawingml/2006/main">
                  <a:graphicData uri="http://schemas.microsoft.com/office/word/2010/wordprocessingShape">
                    <wps:wsp>
                      <wps:cNvSpPr txBox="1"/>
                      <wps:spPr>
                        <a:xfrm>
                          <a:off x="0" y="0"/>
                          <a:ext cx="1658982" cy="352697"/>
                        </a:xfrm>
                        <a:prstGeom prst="rect">
                          <a:avLst/>
                        </a:prstGeom>
                        <a:solidFill>
                          <a:schemeClr val="lt1"/>
                        </a:solidFill>
                        <a:ln w="6350">
                          <a:noFill/>
                        </a:ln>
                      </wps:spPr>
                      <wps:txbx>
                        <w:txbxContent>
                          <w:p>
                            <w:pPr>
                              <w:rPr>
                                <w:rFonts w:ascii="黑体" w:hAnsi="黑体" w:eastAsia="黑体"/>
                              </w:rPr>
                            </w:pPr>
                            <w:r>
                              <w:rPr>
                                <w:rFonts w:ascii="黑体" w:hAnsi="黑体" w:eastAsia="黑体"/>
                              </w:rPr>
                              <w:t>ICS XX.XXX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pt;margin-top:-38pt;height:27.75pt;width:130.65pt;z-index:251659264;mso-width-relative:page;mso-height-relative:page;" fillcolor="#FFFFFF [3201]" filled="t" stroked="f" coordsize="21600,21600" o:gfxdata="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mYU0NUAAAALAQAADwAAAAAA&#10;AAABACAAAAAiAAAAZHJzL2Rvd25yZXYueG1sUEsBAhQAFAAAAAgAh07iQAlMxzJPAgAAjwQAAA4A&#10;AAAAAAAAAQAgAAAAJAEAAGRycy9lMm9Eb2MueG1sUEsFBgAAAAAGAAYAWQEAAOUFAAAAAA==&#10;">
                <v:fill on="t" focussize="0,0"/>
                <v:stroke on="f" weight="0.5pt"/>
                <v:imagedata o:title=""/>
                <o:lock v:ext="edit" aspectratio="f"/>
                <v:textbox>
                  <w:txbxContent>
                    <w:p>
                      <w:pPr>
                        <w:rPr>
                          <w:rFonts w:ascii="黑体" w:hAnsi="黑体" w:eastAsia="黑体"/>
                        </w:rPr>
                      </w:pPr>
                      <w:r>
                        <w:rPr>
                          <w:rFonts w:ascii="黑体" w:hAnsi="黑体" w:eastAsia="黑体"/>
                        </w:rPr>
                        <w:t>ICS XX.XXX</w:t>
                      </w:r>
                    </w:p>
                  </w:txbxContent>
                </v:textbox>
              </v:shape>
            </w:pict>
          </mc:Fallback>
        </mc:AlternateContent>
      </w:r>
    </w:p>
    <w:p>
      <w:pPr>
        <w:rPr>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154305</wp:posOffset>
                </wp:positionV>
                <wp:extent cx="5934075" cy="1456055"/>
                <wp:effectExtent l="0" t="0" r="9525" b="6985"/>
                <wp:wrapNone/>
                <wp:docPr id="2" name="文本框 2"/>
                <wp:cNvGraphicFramePr/>
                <a:graphic xmlns:a="http://schemas.openxmlformats.org/drawingml/2006/main">
                  <a:graphicData uri="http://schemas.microsoft.com/office/word/2010/wordprocessingShape">
                    <wps:wsp>
                      <wps:cNvSpPr txBox="1"/>
                      <wps:spPr>
                        <a:xfrm>
                          <a:off x="0" y="0"/>
                          <a:ext cx="5934075" cy="1456055"/>
                        </a:xfrm>
                        <a:prstGeom prst="rect">
                          <a:avLst/>
                        </a:prstGeom>
                        <a:solidFill>
                          <a:schemeClr val="lt1"/>
                        </a:solidFill>
                        <a:ln w="6350">
                          <a:noFill/>
                        </a:ln>
                      </wps:spPr>
                      <wps:txbx>
                        <w:txbxContent>
                          <w:p>
                            <w:pPr>
                              <w:keepNext w:val="0"/>
                              <w:keepLines w:val="0"/>
                              <w:pageBreakBefore w:val="0"/>
                              <w:widowControl w:val="0"/>
                              <w:kinsoku/>
                              <w:wordWrap/>
                              <w:overflowPunct/>
                              <w:topLinePunct w:val="0"/>
                              <w:autoSpaceDE/>
                              <w:autoSpaceDN/>
                              <w:bidi w:val="0"/>
                              <w:adjustRightInd/>
                              <w:snapToGrid/>
                              <w:jc w:val="distribute"/>
                              <w:textAlignment w:val="auto"/>
                              <w:rPr>
                                <w:rFonts w:ascii="方正小标宋_GBK" w:hAnsi="方正小标宋_GBK" w:eastAsia="方正小标宋_GBK"/>
                                <w:b/>
                                <w:bCs/>
                                <w:sz w:val="96"/>
                                <w:szCs w:val="160"/>
                              </w:rPr>
                            </w:pPr>
                            <w:r>
                              <w:rPr>
                                <w:rFonts w:hint="eastAsia" w:ascii="方正小标宋_GBK" w:hAnsi="方正小标宋_GBK" w:eastAsia="方正小标宋_GBK"/>
                                <w:b/>
                                <w:bCs/>
                                <w:sz w:val="96"/>
                                <w:szCs w:val="160"/>
                              </w:rPr>
                              <w:t>团体标准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12.15pt;height:114.65pt;width:467.25pt;z-index:251660288;mso-width-relative:page;mso-height-relative:page;" fillcolor="#FFFFFF [3201]" filled="t" stroked="f" coordsize="21600,21600" o:gfxdata="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G/YkfXAAAACgEAAA8A&#10;AAAAAAAAAQAgAAAAIgAAAGRycy9kb3ducmV2LnhtbFBLAQIUABQAAAAIAIdO4kB24WGlUQIAAJAE&#10;AAAOAAAAAAAAAAEAIAAAACYBAABkcnMvZTJvRG9jLnhtbFBLBQYAAAAABgAGAFkBAADp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distribute"/>
                        <w:textAlignment w:val="auto"/>
                        <w:rPr>
                          <w:rFonts w:ascii="方正小标宋_GBK" w:hAnsi="方正小标宋_GBK" w:eastAsia="方正小标宋_GBK"/>
                          <w:b/>
                          <w:bCs/>
                          <w:sz w:val="96"/>
                          <w:szCs w:val="160"/>
                        </w:rPr>
                      </w:pPr>
                      <w:r>
                        <w:rPr>
                          <w:rFonts w:hint="eastAsia" w:ascii="方正小标宋_GBK" w:hAnsi="方正小标宋_GBK" w:eastAsia="方正小标宋_GBK"/>
                          <w:b/>
                          <w:bCs/>
                          <w:sz w:val="96"/>
                          <w:szCs w:val="160"/>
                        </w:rPr>
                        <w:t>团体标准</w:t>
                      </w:r>
                    </w:p>
                  </w:txbxContent>
                </v:textbox>
              </v:shape>
            </w:pict>
          </mc:Fallback>
        </mc:AlternateContent>
      </w:r>
    </w:p>
    <w:p>
      <w:pPr>
        <w:rPr>
          <w:highlight w:val="none"/>
        </w:rPr>
      </w:pPr>
    </w:p>
    <w:p>
      <w:pPr>
        <w:rPr>
          <w:highlight w:val="none"/>
        </w:rPr>
      </w:pPr>
    </w:p>
    <w:p>
      <w:pPr>
        <w:rPr>
          <w:highlight w:val="none"/>
        </w:rPr>
      </w:pPr>
    </w:p>
    <w:p>
      <w:pPr>
        <w:rPr>
          <w:highlight w:val="none"/>
        </w:rPr>
      </w:pPr>
    </w:p>
    <w:p>
      <w:pPr>
        <w:rPr>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195580</wp:posOffset>
                </wp:positionV>
                <wp:extent cx="6113145" cy="7912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113145" cy="791308"/>
                        </a:xfrm>
                        <a:prstGeom prst="rect">
                          <a:avLst/>
                        </a:prstGeom>
                        <a:solidFill>
                          <a:schemeClr val="lt1"/>
                        </a:solidFill>
                        <a:ln w="6350">
                          <a:noFill/>
                        </a:ln>
                      </wps:spPr>
                      <wps:txbx>
                        <w:txbxContent>
                          <w:p>
                            <w:pPr>
                              <w:wordWrap w:val="0"/>
                              <w:jc w:val="right"/>
                              <w:rPr>
                                <w:rFonts w:ascii="黑体" w:hAnsi="黑体" w:eastAsia="黑体"/>
                                <w:sz w:val="28"/>
                                <w:szCs w:val="28"/>
                                <w:highlight w:val="none"/>
                              </w:rPr>
                            </w:pPr>
                            <w:r>
                              <w:rPr>
                                <w:rFonts w:ascii="黑体" w:hAnsi="黑体" w:eastAsia="黑体"/>
                                <w:sz w:val="28"/>
                                <w:szCs w:val="28"/>
                                <w:highlight w:val="none"/>
                              </w:rPr>
                              <w:t>T/SDPEA XXXX-2023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pt;margin-top:15.4pt;height:62.3pt;width:481.35pt;z-index:251661312;mso-width-relative:page;mso-height-relative:page;" fillcolor="#FFFFFF [3201]" filled="t" stroked="f" coordsize="21600,21600" o:gfxdata="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rrybU1gAAAAoBAAAPAAAA&#10;AAAAAAEAIAAAACIAAABkcnMvZG93bnJldi54bWxQSwECFAAUAAAACACHTuJAMXWCC1ACAACPBAAA&#10;DgAAAAAAAAABACAAAAAlAQAAZHJzL2Uyb0RvYy54bWxQSwUGAAAAAAYABgBZAQAA5wUAAAAA&#10;">
                <v:fill on="t" focussize="0,0"/>
                <v:stroke on="f" weight="0.5pt"/>
                <v:imagedata o:title=""/>
                <o:lock v:ext="edit" aspectratio="f"/>
                <v:textbox>
                  <w:txbxContent>
                    <w:p>
                      <w:pPr>
                        <w:wordWrap w:val="0"/>
                        <w:jc w:val="right"/>
                        <w:rPr>
                          <w:rFonts w:ascii="黑体" w:hAnsi="黑体" w:eastAsia="黑体"/>
                          <w:sz w:val="28"/>
                          <w:szCs w:val="28"/>
                          <w:highlight w:val="none"/>
                        </w:rPr>
                      </w:pPr>
                      <w:r>
                        <w:rPr>
                          <w:rFonts w:ascii="黑体" w:hAnsi="黑体" w:eastAsia="黑体"/>
                          <w:sz w:val="28"/>
                          <w:szCs w:val="28"/>
                          <w:highlight w:val="none"/>
                        </w:rPr>
                        <w:t>T/SDPEA XXXX-2023</w:t>
                      </w:r>
                    </w:p>
                  </w:txbxContent>
                </v:textbox>
              </v:shape>
            </w:pict>
          </mc:Fallback>
        </mc:AlternateContent>
      </w:r>
    </w:p>
    <w:p>
      <w:pPr>
        <w:rPr>
          <w:highlight w:val="none"/>
        </w:rPr>
      </w:pPr>
      <w:r>
        <w:rPr>
          <w:highlight w:val="none"/>
        </w:rPr>
        <w:t>“</w:t>
      </w:r>
    </w:p>
    <w:p>
      <w:pPr>
        <w:rPr>
          <w:rFonts w:ascii="黑体" w:hAnsi="黑体" w:eastAsia="黑体"/>
          <w:sz w:val="52"/>
          <w:szCs w:val="52"/>
          <w:highlight w:val="none"/>
        </w:rPr>
      </w:pPr>
      <w:r>
        <w:rPr>
          <w:rFonts w:hint="eastAsia" w:ascii="黑体" w:hAnsi="黑体" w:eastAsia="黑体"/>
          <w:sz w:val="52"/>
          <w:szCs w:val="52"/>
          <w:highlight w:val="none"/>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386080</wp:posOffset>
                </wp:positionV>
                <wp:extent cx="5961380" cy="0"/>
                <wp:effectExtent l="0" t="0" r="8255" b="12700"/>
                <wp:wrapNone/>
                <wp:docPr id="5" name="直线连接符 5"/>
                <wp:cNvGraphicFramePr/>
                <a:graphic xmlns:a="http://schemas.openxmlformats.org/drawingml/2006/main">
                  <a:graphicData uri="http://schemas.microsoft.com/office/word/2010/wordprocessingShape">
                    <wps:wsp>
                      <wps:cNvCnPr/>
                      <wps:spPr>
                        <a:xfrm>
                          <a:off x="0" y="0"/>
                          <a:ext cx="5961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5" o:spid="_x0000_s1026" o:spt="20" style="position:absolute;left:0pt;margin-left:-36pt;margin-top:30.4pt;height:0pt;width:469.4pt;z-index:251662336;mso-width-relative:page;mso-height-relative:page;" filled="f" stroked="t" coordsize="21600,21600" o:gfxdata="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xhZF9UAAAAJ&#10;AQAADwAAAAAAAAABACAAAAAiAAAAZHJzL2Rvd25yZXYueG1sUEsBAhQAFAAAAAgAh07iQNqOjS/m&#10;AQAAsQMAAA4AAAAAAAAAAQAgAAAAJAEAAGRycy9lMm9Eb2MueG1sUEsFBgAAAAAGAAYAWQEAAHwF&#10;AAAAAA==&#10;">
                <v:fill on="f" focussize="0,0"/>
                <v:stroke weight="0.5pt" color="#000000 [3213]" miterlimit="8" joinstyle="miter"/>
                <v:imagedata o:title=""/>
                <o:lock v:ext="edit" aspectratio="f"/>
              </v:line>
            </w:pict>
          </mc:Fallback>
        </mc:AlternateContent>
      </w:r>
    </w:p>
    <w:p>
      <w:pPr>
        <w:rPr>
          <w:rFonts w:ascii="黑体" w:hAnsi="黑体" w:eastAsia="黑体"/>
          <w:sz w:val="52"/>
          <w:szCs w:val="52"/>
          <w:highlight w:val="none"/>
        </w:rPr>
      </w:pPr>
    </w:p>
    <w:p>
      <w:pPr>
        <w:jc w:val="center"/>
        <w:rPr>
          <w:rFonts w:ascii="黑体" w:hAnsi="黑体" w:eastAsia="黑体"/>
          <w:sz w:val="52"/>
          <w:szCs w:val="52"/>
          <w:highlight w:val="none"/>
        </w:rPr>
      </w:pPr>
      <w:bookmarkStart w:id="0" w:name="_Hlk97884334"/>
      <w:r>
        <w:rPr>
          <w:rFonts w:hint="eastAsia" w:ascii="黑体" w:hAnsi="黑体" w:eastAsia="黑体"/>
          <w:sz w:val="52"/>
          <w:szCs w:val="52"/>
          <w:highlight w:val="none"/>
        </w:rPr>
        <w:t>电力企业政企网格“共建共治共享”融合服务规范</w:t>
      </w:r>
    </w:p>
    <w:bookmarkEnd w:id="0"/>
    <w:p>
      <w:pPr>
        <w:jc w:val="center"/>
        <w:rPr>
          <w:rFonts w:ascii="黑体" w:hAnsi="黑体" w:eastAsia="黑体"/>
          <w:szCs w:val="21"/>
          <w:highlight w:val="none"/>
        </w:rPr>
      </w:pPr>
      <w:r>
        <w:rPr>
          <w:rFonts w:ascii="黑体" w:hAnsi="黑体" w:eastAsia="黑体"/>
          <w:szCs w:val="21"/>
          <w:highlight w:val="none"/>
        </w:rPr>
        <w:t>Integrated Service Specification for "Co construction, Co governance, and Sharing" of Power Enterprise Government Enterprise Gri</w:t>
      </w:r>
    </w:p>
    <w:p>
      <w:pPr>
        <w:jc w:val="center"/>
        <w:rPr>
          <w:highlight w:val="none"/>
        </w:rPr>
      </w:pP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征求意见稿）</w:t>
      </w:r>
    </w:p>
    <w:p>
      <w:pPr>
        <w:rPr>
          <w:highlight w:val="none"/>
        </w:rPr>
      </w:pPr>
    </w:p>
    <w:p>
      <w:pPr>
        <w:rPr>
          <w:highlight w:val="none"/>
        </w:rPr>
      </w:pPr>
      <w:r>
        <w:rPr>
          <w:highlight w:val="none"/>
        </w:rPr>
        <w:br w:type="textWrapping"/>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ind w:leftChars="-203" w:right="-483" w:rightChars="-230" w:hanging="425" w:hangingChars="152"/>
        <w:jc w:val="distribute"/>
        <w:rPr>
          <w:rFonts w:ascii="黑体" w:hAnsi="黑体" w:eastAsia="黑体"/>
          <w:sz w:val="28"/>
          <w:szCs w:val="28"/>
          <w:highlight w:val="none"/>
        </w:rPr>
      </w:pPr>
      <w:r>
        <w:rPr>
          <w:rFonts w:hint="eastAsia" w:ascii="黑体" w:hAnsi="黑体" w:eastAsia="黑体"/>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-213360</wp:posOffset>
                </wp:positionH>
                <wp:positionV relativeFrom="paragraph">
                  <wp:posOffset>369570</wp:posOffset>
                </wp:positionV>
                <wp:extent cx="5770245" cy="0"/>
                <wp:effectExtent l="0" t="0" r="0" b="0"/>
                <wp:wrapNone/>
                <wp:docPr id="8" name="直线连接符 8"/>
                <wp:cNvGraphicFramePr/>
                <a:graphic xmlns:a="http://schemas.openxmlformats.org/drawingml/2006/main">
                  <a:graphicData uri="http://schemas.microsoft.com/office/word/2010/wordprocessingShape">
                    <wps:wsp>
                      <wps:cNvCnPr/>
                      <wps:spPr>
                        <a:xfrm>
                          <a:off x="0" y="0"/>
                          <a:ext cx="5770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8" o:spid="_x0000_s1026" o:spt="20" style="position:absolute;left:0pt;margin-left:-16.8pt;margin-top:29.1pt;height:0pt;width:454.35pt;z-index:251663360;mso-width-relative:page;mso-height-relative:page;" filled="f" stroked="t" coordsize="21600,21600" o:gfxdata="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yYRKtcA&#10;AAAJAQAADwAAAAAAAAABACAAAAAiAAAAZHJzL2Rvd25yZXYueG1sUEsBAhQAFAAAAAgAh07iQO1P&#10;PWvnAQAAsQMAAA4AAAAAAAAAAQAgAAAAJgEAAGRycy9lMm9Eb2MueG1sUEsFBgAAAAAGAAYAWQEA&#10;AH8FAAAAAA==&#10;">
                <v:fill on="f" focussize="0,0"/>
                <v:stroke weight="0.5pt" color="#000000 [3213]" miterlimit="8" joinstyle="miter"/>
                <v:imagedata o:title=""/>
                <o:lock v:ext="edit" aspectratio="f"/>
              </v:line>
            </w:pict>
          </mc:Fallback>
        </mc:AlternateContent>
      </w:r>
      <w:r>
        <w:rPr>
          <w:rFonts w:hint="eastAsia" w:ascii="黑体" w:hAnsi="黑体" w:eastAsia="黑体"/>
          <w:sz w:val="28"/>
          <w:szCs w:val="28"/>
          <w:highlight w:val="none"/>
        </w:rPr>
        <w:t>2</w:t>
      </w:r>
      <w:r>
        <w:rPr>
          <w:rFonts w:ascii="黑体" w:hAnsi="黑体" w:eastAsia="黑体"/>
          <w:sz w:val="28"/>
          <w:szCs w:val="28"/>
          <w:highlight w:val="none"/>
        </w:rPr>
        <w:t>023-XX-XX</w:t>
      </w:r>
      <w:r>
        <w:rPr>
          <w:rFonts w:hint="eastAsia" w:ascii="黑体" w:hAnsi="黑体" w:eastAsia="黑体"/>
          <w:sz w:val="28"/>
          <w:szCs w:val="28"/>
          <w:highlight w:val="none"/>
        </w:rPr>
        <w:t xml:space="preserve">发布 </w:t>
      </w:r>
      <w:r>
        <w:rPr>
          <w:rFonts w:ascii="黑体" w:hAnsi="黑体" w:eastAsia="黑体"/>
          <w:sz w:val="28"/>
          <w:szCs w:val="28"/>
          <w:highlight w:val="none"/>
        </w:rPr>
        <w:t xml:space="preserve">                             2023-XX-XX</w:t>
      </w:r>
      <w:r>
        <w:rPr>
          <w:rFonts w:hint="eastAsia" w:ascii="黑体" w:hAnsi="黑体" w:eastAsia="黑体"/>
          <w:sz w:val="28"/>
          <w:szCs w:val="28"/>
          <w:highlight w:val="none"/>
        </w:rPr>
        <w:t>实施</w:t>
      </w:r>
    </w:p>
    <w:p>
      <w:pPr>
        <w:jc w:val="center"/>
        <w:rPr>
          <w:highlight w:val="none"/>
        </w:rPr>
        <w:sectPr>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pPr>
      <w:bookmarkStart w:id="1" w:name="_Hlk97884158"/>
      <w:r>
        <w:rPr>
          <w:rFonts w:hint="eastAsia" w:ascii="黑体" w:hAnsi="黑体" w:eastAsia="黑体"/>
          <w:sz w:val="28"/>
          <w:szCs w:val="28"/>
          <w:highlight w:val="none"/>
        </w:rPr>
        <w:t>山东省电力</w:t>
      </w:r>
      <w:r>
        <w:rPr>
          <w:rFonts w:hint="eastAsia" w:ascii="黑体" w:hAnsi="黑体" w:eastAsia="黑体"/>
          <w:sz w:val="28"/>
          <w:szCs w:val="28"/>
          <w:highlight w:val="none"/>
          <w:lang w:val="en-US" w:eastAsia="zh-CN"/>
        </w:rPr>
        <w:t>行</w:t>
      </w:r>
      <w:r>
        <w:rPr>
          <w:rFonts w:hint="eastAsia" w:ascii="黑体" w:hAnsi="黑体" w:eastAsia="黑体"/>
          <w:sz w:val="28"/>
          <w:szCs w:val="28"/>
          <w:highlight w:val="none"/>
        </w:rPr>
        <w:t>业</w:t>
      </w:r>
      <w:bookmarkStart w:id="114" w:name="_GoBack"/>
      <w:bookmarkEnd w:id="114"/>
      <w:r>
        <w:rPr>
          <w:rFonts w:hint="eastAsia" w:ascii="黑体" w:hAnsi="黑体" w:eastAsia="黑体"/>
          <w:sz w:val="28"/>
          <w:szCs w:val="28"/>
          <w:highlight w:val="none"/>
        </w:rPr>
        <w:t>协会</w:t>
      </w:r>
      <w:bookmarkEnd w:id="1"/>
      <w:r>
        <w:rPr>
          <w:rFonts w:hint="eastAsia"/>
          <w:highlight w:val="none"/>
        </w:rPr>
        <w:t xml:space="preserve"> </w:t>
      </w:r>
      <w:r>
        <w:rPr>
          <w:highlight w:val="none"/>
        </w:rPr>
        <w:t xml:space="preserve">   </w:t>
      </w:r>
      <w:r>
        <w:rPr>
          <w:rFonts w:hint="eastAsia" w:ascii="黑体" w:hAnsi="黑体" w:eastAsia="黑体"/>
          <w:sz w:val="28"/>
          <w:szCs w:val="28"/>
          <w:highlight w:val="none"/>
        </w:rPr>
        <w:t>发布</w:t>
      </w:r>
    </w:p>
    <w:p>
      <w:pPr>
        <w:widowControl/>
        <w:jc w:val="center"/>
        <w:rPr>
          <w:rFonts w:ascii="黑体" w:hAnsi="黑体" w:eastAsia="黑体"/>
          <w:sz w:val="32"/>
          <w:szCs w:val="32"/>
          <w:highlight w:val="none"/>
        </w:rPr>
      </w:pPr>
      <w:r>
        <w:rPr>
          <w:rFonts w:ascii="黑体" w:hAnsi="黑体" w:eastAsia="黑体"/>
          <w:sz w:val="32"/>
          <w:szCs w:val="32"/>
          <w:highlight w:val="none"/>
        </w:rPr>
        <w:t>目    次</w:t>
      </w:r>
    </w:p>
    <w:p>
      <w:pPr>
        <w:pStyle w:val="10"/>
        <w:tabs>
          <w:tab w:val="right" w:leader="dot" w:pos="8306"/>
        </w:tabs>
        <w:rPr>
          <w:rFonts w:ascii="方正黑体_GBK" w:hAnsi="方正黑体_GBK" w:eastAsia="方正黑体_GBK" w:cs="方正黑体_GBK"/>
          <w:highlight w:val="none"/>
        </w:rPr>
      </w:pPr>
      <w:r>
        <w:rPr>
          <w:rFonts w:ascii="宋体" w:hAnsi="宋体" w:eastAsia="宋体"/>
          <w:highlight w:val="none"/>
        </w:rPr>
        <w:fldChar w:fldCharType="begin"/>
      </w:r>
      <w:r>
        <w:rPr>
          <w:rFonts w:ascii="宋体" w:hAnsi="宋体" w:eastAsia="宋体"/>
          <w:highlight w:val="none"/>
        </w:rPr>
        <w:instrText xml:space="preserve"> </w:instrText>
      </w:r>
      <w:r>
        <w:rPr>
          <w:rFonts w:hint="eastAsia" w:ascii="宋体" w:hAnsi="宋体" w:eastAsia="宋体"/>
          <w:highlight w:val="none"/>
        </w:rPr>
        <w:instrText xml:space="preserve">TOC \o "1-2" \h \z \u</w:instrText>
      </w:r>
      <w:r>
        <w:rPr>
          <w:rFonts w:ascii="宋体" w:hAnsi="宋体" w:eastAsia="宋体"/>
          <w:highlight w:val="none"/>
        </w:rPr>
        <w:instrText xml:space="preserve"> </w:instrText>
      </w:r>
      <w:r>
        <w:rPr>
          <w:rFonts w:ascii="宋体" w:hAnsi="宋体" w:eastAsia="宋体"/>
          <w:highlight w:val="none"/>
        </w:rPr>
        <w:fldChar w:fldCharType="separate"/>
      </w:r>
      <w:r>
        <w:rPr>
          <w:highlight w:val="none"/>
        </w:rPr>
        <w:fldChar w:fldCharType="begin"/>
      </w:r>
      <w:r>
        <w:rPr>
          <w:highlight w:val="none"/>
        </w:rPr>
        <w:instrText xml:space="preserve"> HYPERLINK \l "_Toc11078" </w:instrText>
      </w:r>
      <w:r>
        <w:rPr>
          <w:highlight w:val="none"/>
        </w:rPr>
        <w:fldChar w:fldCharType="separate"/>
      </w:r>
      <w:r>
        <w:rPr>
          <w:rFonts w:hint="eastAsia" w:ascii="方正黑体_GBK" w:hAnsi="方正黑体_GBK" w:eastAsia="方正黑体_GBK" w:cs="方正黑体_GBK"/>
          <w:szCs w:val="21"/>
          <w:highlight w:val="none"/>
        </w:rPr>
        <w:t>1  范围</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_Toc11078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1</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0"/>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"_Toc2186" </w:instrText>
      </w:r>
      <w:r>
        <w:rPr>
          <w:highlight w:val="none"/>
        </w:rPr>
        <w:fldChar w:fldCharType="separate"/>
      </w:r>
      <w:r>
        <w:rPr>
          <w:rFonts w:hint="eastAsia" w:ascii="方正黑体_GBK" w:hAnsi="方正黑体_GBK" w:eastAsia="方正黑体_GBK" w:cs="方正黑体_GBK"/>
          <w:szCs w:val="21"/>
          <w:highlight w:val="none"/>
        </w:rPr>
        <w:t>2  规范性引用文件</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_Toc2186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1</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0"/>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"_Toc26679" </w:instrText>
      </w:r>
      <w:r>
        <w:rPr>
          <w:highlight w:val="none"/>
        </w:rPr>
        <w:fldChar w:fldCharType="separate"/>
      </w:r>
      <w:r>
        <w:rPr>
          <w:rFonts w:hint="eastAsia" w:ascii="方正黑体_GBK" w:hAnsi="方正黑体_GBK" w:eastAsia="方正黑体_GBK" w:cs="方正黑体_GBK"/>
          <w:szCs w:val="21"/>
          <w:highlight w:val="none"/>
        </w:rPr>
        <w:t>3  术语和定义</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_Toc26679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1</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0"/>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"_Toc17780" </w:instrText>
      </w:r>
      <w:r>
        <w:rPr>
          <w:highlight w:val="none"/>
        </w:rPr>
        <w:fldChar w:fldCharType="separate"/>
      </w:r>
      <w:r>
        <w:rPr>
          <w:rFonts w:hint="eastAsia" w:ascii="方正黑体_GBK" w:hAnsi="方正黑体_GBK" w:eastAsia="方正黑体_GBK" w:cs="方正黑体_GBK"/>
          <w:szCs w:val="21"/>
          <w:highlight w:val="none"/>
        </w:rPr>
        <w:t>4  政企网格融合服务模式</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_Toc17780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2</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"_Toc20702" </w:instrText>
      </w:r>
      <w:r>
        <w:rPr>
          <w:highlight w:val="none"/>
        </w:rPr>
        <w:fldChar w:fldCharType="separate"/>
      </w:r>
      <w:r>
        <w:rPr>
          <w:rFonts w:hint="eastAsia" w:ascii="方正黑体_GBK" w:hAnsi="方正黑体_GBK" w:eastAsia="方正黑体_GBK" w:cs="方正黑体_GBK"/>
          <w:szCs w:val="21"/>
          <w:highlight w:val="none"/>
        </w:rPr>
        <w:t>4.1  强化政企网格共建</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_Toc20702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2</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"_Toc15728" </w:instrText>
      </w:r>
      <w:r>
        <w:rPr>
          <w:highlight w:val="none"/>
        </w:rPr>
        <w:fldChar w:fldCharType="separate"/>
      </w:r>
      <w:r>
        <w:rPr>
          <w:rFonts w:hint="eastAsia" w:ascii="方正黑体_GBK" w:hAnsi="方正黑体_GBK" w:eastAsia="方正黑体_GBK" w:cs="方正黑体_GBK"/>
          <w:szCs w:val="21"/>
          <w:highlight w:val="none"/>
        </w:rPr>
        <w:t>4.2  推动网格问题共治</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_Toc15728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2</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"_Toc8893" </w:instrText>
      </w:r>
      <w:r>
        <w:rPr>
          <w:highlight w:val="none"/>
        </w:rPr>
        <w:fldChar w:fldCharType="separate"/>
      </w:r>
      <w:r>
        <w:rPr>
          <w:rFonts w:hint="eastAsia" w:ascii="方正黑体_GBK" w:hAnsi="方正黑体_GBK" w:eastAsia="方正黑体_GBK" w:cs="方正黑体_GBK"/>
          <w:szCs w:val="21"/>
          <w:highlight w:val="none"/>
        </w:rPr>
        <w:t>4.3  落实网格资源共享</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_Toc8893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2</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0"/>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"_Toc11132" </w:instrText>
      </w:r>
      <w:r>
        <w:rPr>
          <w:highlight w:val="none"/>
        </w:rPr>
        <w:fldChar w:fldCharType="separate"/>
      </w:r>
      <w:r>
        <w:rPr>
          <w:rFonts w:hint="eastAsia" w:ascii="方正黑体_GBK" w:hAnsi="方正黑体_GBK" w:eastAsia="方正黑体_GBK" w:cs="方正黑体_GBK"/>
          <w:szCs w:val="21"/>
          <w:highlight w:val="none"/>
        </w:rPr>
        <w:t>5  政企网格融合服务内容</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_Toc11132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3</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"_Toc31287" </w:instrText>
      </w:r>
      <w:r>
        <w:rPr>
          <w:highlight w:val="none"/>
        </w:rPr>
        <w:fldChar w:fldCharType="separate"/>
      </w:r>
      <w:r>
        <w:rPr>
          <w:rFonts w:hint="eastAsia" w:ascii="方正黑体_GBK" w:hAnsi="方正黑体_GBK" w:eastAsia="方正黑体_GBK" w:cs="方正黑体_GBK"/>
          <w:szCs w:val="21"/>
          <w:highlight w:val="none"/>
        </w:rPr>
        <w:t>5.1  保障电力供应</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_Toc31287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3</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"_Toc23117" </w:instrText>
      </w:r>
      <w:r>
        <w:rPr>
          <w:highlight w:val="none"/>
        </w:rPr>
        <w:fldChar w:fldCharType="separate"/>
      </w:r>
      <w:r>
        <w:rPr>
          <w:rFonts w:hint="eastAsia" w:ascii="方正黑体_GBK" w:hAnsi="方正黑体_GBK" w:eastAsia="方正黑体_GBK" w:cs="方正黑体_GBK"/>
          <w:szCs w:val="21"/>
          <w:highlight w:val="none"/>
        </w:rPr>
        <w:t>5.2  响应群众诉求</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_Toc23117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3</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"_Toc32676" </w:instrText>
      </w:r>
      <w:r>
        <w:rPr>
          <w:highlight w:val="none"/>
        </w:rPr>
        <w:fldChar w:fldCharType="separate"/>
      </w:r>
      <w:r>
        <w:rPr>
          <w:rFonts w:hint="eastAsia" w:ascii="方正黑体_GBK" w:hAnsi="方正黑体_GBK" w:eastAsia="方正黑体_GBK" w:cs="方正黑体_GBK"/>
          <w:szCs w:val="21"/>
          <w:highlight w:val="none"/>
        </w:rPr>
        <w:t>5.3  办理涉电业务</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_Toc32676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3</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"_Toc32646" </w:instrText>
      </w:r>
      <w:r>
        <w:rPr>
          <w:highlight w:val="none"/>
        </w:rPr>
        <w:fldChar w:fldCharType="separate"/>
      </w:r>
      <w:r>
        <w:rPr>
          <w:rFonts w:hint="eastAsia" w:ascii="方正黑体_GBK" w:hAnsi="方正黑体_GBK" w:eastAsia="方正黑体_GBK" w:cs="方正黑体_GBK"/>
          <w:szCs w:val="21"/>
          <w:highlight w:val="none"/>
        </w:rPr>
        <w:t>5.4  宣传政策信息</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_Toc32646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3</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"_Toc11804" </w:instrText>
      </w:r>
      <w:r>
        <w:rPr>
          <w:highlight w:val="none"/>
        </w:rPr>
        <w:fldChar w:fldCharType="separate"/>
      </w:r>
      <w:r>
        <w:rPr>
          <w:rFonts w:hint="eastAsia" w:ascii="方正黑体_GBK" w:hAnsi="方正黑体_GBK" w:eastAsia="方正黑体_GBK" w:cs="方正黑体_GBK"/>
          <w:szCs w:val="21"/>
          <w:highlight w:val="none"/>
        </w:rPr>
        <w:t>5.5  治理信息档案</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_Toc11804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3</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"_Toc24023" </w:instrText>
      </w:r>
      <w:r>
        <w:rPr>
          <w:highlight w:val="none"/>
        </w:rPr>
        <w:fldChar w:fldCharType="separate"/>
      </w:r>
      <w:r>
        <w:rPr>
          <w:rFonts w:hint="eastAsia" w:ascii="方正黑体_GBK" w:hAnsi="方正黑体_GBK" w:eastAsia="方正黑体_GBK" w:cs="方正黑体_GBK"/>
          <w:szCs w:val="21"/>
          <w:highlight w:val="none"/>
        </w:rPr>
        <w:t>5.6  治理安全隐患</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_Toc24023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4</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"_Toc2466" </w:instrText>
      </w:r>
      <w:r>
        <w:rPr>
          <w:highlight w:val="none"/>
        </w:rPr>
        <w:fldChar w:fldCharType="separate"/>
      </w:r>
      <w:r>
        <w:rPr>
          <w:rFonts w:hint="eastAsia" w:ascii="方正黑体_GBK" w:hAnsi="方正黑体_GBK" w:eastAsia="方正黑体_GBK" w:cs="方正黑体_GBK"/>
          <w:szCs w:val="21"/>
          <w:highlight w:val="none"/>
        </w:rPr>
        <w:t>5.7  开展能效服务</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_Toc2466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4</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"_Toc19713" </w:instrText>
      </w:r>
      <w:r>
        <w:rPr>
          <w:highlight w:val="none"/>
        </w:rPr>
        <w:fldChar w:fldCharType="separate"/>
      </w:r>
      <w:r>
        <w:rPr>
          <w:rFonts w:hint="eastAsia" w:ascii="方正黑体_GBK" w:hAnsi="方正黑体_GBK" w:eastAsia="方正黑体_GBK" w:cs="方正黑体_GBK"/>
          <w:szCs w:val="21"/>
          <w:highlight w:val="none"/>
        </w:rPr>
        <w:t>5.8  支撑公益服务</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_Toc19713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4</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0"/>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"_Toc1935" </w:instrText>
      </w:r>
      <w:r>
        <w:rPr>
          <w:highlight w:val="none"/>
        </w:rPr>
        <w:fldChar w:fldCharType="separate"/>
      </w:r>
      <w:r>
        <w:rPr>
          <w:rFonts w:hint="eastAsia" w:ascii="方正黑体_GBK" w:hAnsi="方正黑体_GBK" w:eastAsia="方正黑体_GBK" w:cs="方正黑体_GBK"/>
          <w:szCs w:val="21"/>
          <w:highlight w:val="none"/>
        </w:rPr>
        <w:t>6  政企网格融合服务规范</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_Toc1935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4</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"_Toc32531" </w:instrText>
      </w:r>
      <w:r>
        <w:rPr>
          <w:highlight w:val="none"/>
        </w:rPr>
        <w:fldChar w:fldCharType="separate"/>
      </w:r>
      <w:r>
        <w:rPr>
          <w:rFonts w:hint="eastAsia" w:ascii="方正黑体_GBK" w:hAnsi="方正黑体_GBK" w:eastAsia="方正黑体_GBK" w:cs="方正黑体_GBK"/>
          <w:szCs w:val="21"/>
          <w:highlight w:val="none"/>
        </w:rPr>
        <w:t>6.1  电力企业网格经理、客户经理职业素养</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_Toc32531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4</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"_Toc17263" </w:instrText>
      </w:r>
      <w:r>
        <w:rPr>
          <w:highlight w:val="none"/>
        </w:rPr>
        <w:fldChar w:fldCharType="separate"/>
      </w:r>
      <w:r>
        <w:rPr>
          <w:rFonts w:hint="eastAsia" w:ascii="方正黑体_GBK" w:hAnsi="方正黑体_GBK" w:eastAsia="方正黑体_GBK" w:cs="方正黑体_GBK"/>
          <w:szCs w:val="21"/>
          <w:highlight w:val="none"/>
        </w:rPr>
        <w:t>6.2  电力企业网格经理、客户经理行为规范</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_Toc17263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4</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"_Toc21587" </w:instrText>
      </w:r>
      <w:r>
        <w:rPr>
          <w:highlight w:val="none"/>
        </w:rPr>
        <w:fldChar w:fldCharType="separate"/>
      </w:r>
      <w:r>
        <w:rPr>
          <w:rFonts w:hint="eastAsia" w:ascii="方正黑体_GBK" w:hAnsi="方正黑体_GBK" w:eastAsia="方正黑体_GBK" w:cs="方正黑体_GBK"/>
          <w:szCs w:val="21"/>
          <w:highlight w:val="none"/>
        </w:rPr>
        <w:t>6.3  电力企业网格经理、客户经理现场服务规范</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_Toc21587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5</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"_Toc11184" </w:instrText>
      </w:r>
      <w:r>
        <w:rPr>
          <w:highlight w:val="none"/>
        </w:rPr>
        <w:fldChar w:fldCharType="separate"/>
      </w:r>
      <w:r>
        <w:rPr>
          <w:rFonts w:hint="eastAsia" w:ascii="方正黑体_GBK" w:hAnsi="方正黑体_GBK" w:eastAsia="方正黑体_GBK" w:cs="方正黑体_GBK"/>
          <w:szCs w:val="21"/>
          <w:highlight w:val="none"/>
        </w:rPr>
        <w:t>6.4  电力企业网格经理、客户经理远程服务规范</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_Toc11184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5</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0"/>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"_Toc23474" </w:instrText>
      </w:r>
      <w:r>
        <w:rPr>
          <w:highlight w:val="none"/>
        </w:rPr>
        <w:fldChar w:fldCharType="separate"/>
      </w:r>
      <w:r>
        <w:rPr>
          <w:rFonts w:hint="eastAsia" w:ascii="方正黑体_GBK" w:hAnsi="方正黑体_GBK" w:eastAsia="方正黑体_GBK" w:cs="方正黑体_GBK"/>
          <w:szCs w:val="21"/>
          <w:highlight w:val="none"/>
        </w:rPr>
        <w:t>7  政企网格融合服务管理</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_Toc23474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5</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"_Toc27852" </w:instrText>
      </w:r>
      <w:r>
        <w:rPr>
          <w:highlight w:val="none"/>
        </w:rPr>
        <w:fldChar w:fldCharType="separate"/>
      </w:r>
      <w:r>
        <w:rPr>
          <w:rFonts w:hint="eastAsia" w:ascii="方正黑体_GBK" w:hAnsi="方正黑体_GBK" w:eastAsia="方正黑体_GBK" w:cs="方正黑体_GBK"/>
          <w:szCs w:val="21"/>
          <w:highlight w:val="none"/>
        </w:rPr>
        <w:t>7.1  组织建设与职责分工</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_Toc27852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5</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"_Toc19402" </w:instrText>
      </w:r>
      <w:r>
        <w:rPr>
          <w:highlight w:val="none"/>
        </w:rPr>
        <w:fldChar w:fldCharType="separate"/>
      </w:r>
      <w:r>
        <w:rPr>
          <w:rFonts w:hint="eastAsia" w:ascii="方正黑体_GBK" w:hAnsi="方正黑体_GBK" w:eastAsia="方正黑体_GBK" w:cs="方正黑体_GBK"/>
          <w:szCs w:val="21"/>
          <w:highlight w:val="none"/>
        </w:rPr>
        <w:t>7.2  业务流程与执行规范</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_Toc19402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5</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"_Toc22240" </w:instrText>
      </w:r>
      <w:r>
        <w:rPr>
          <w:highlight w:val="none"/>
        </w:rPr>
        <w:fldChar w:fldCharType="separate"/>
      </w:r>
      <w:r>
        <w:rPr>
          <w:rFonts w:hint="eastAsia" w:ascii="方正黑体_GBK" w:hAnsi="方正黑体_GBK" w:eastAsia="方正黑体_GBK" w:cs="方正黑体_GBK"/>
          <w:szCs w:val="21"/>
          <w:highlight w:val="none"/>
        </w:rPr>
        <w:t>7.3  服务标准与服务规范</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_Toc22240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6</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1"/>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"_Toc24737" </w:instrText>
      </w:r>
      <w:r>
        <w:rPr>
          <w:highlight w:val="none"/>
        </w:rPr>
        <w:fldChar w:fldCharType="separate"/>
      </w:r>
      <w:r>
        <w:rPr>
          <w:rFonts w:hint="eastAsia" w:ascii="方正黑体_GBK" w:hAnsi="方正黑体_GBK" w:eastAsia="方正黑体_GBK" w:cs="方正黑体_GBK"/>
          <w:szCs w:val="21"/>
          <w:highlight w:val="none"/>
        </w:rPr>
        <w:t>7.4  过程管理与结果评价</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_Toc24737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6</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0"/>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"_Toc6340" </w:instrText>
      </w:r>
      <w:r>
        <w:rPr>
          <w:highlight w:val="none"/>
        </w:rPr>
        <w:fldChar w:fldCharType="separate"/>
      </w:r>
      <w:r>
        <w:rPr>
          <w:rFonts w:hint="eastAsia" w:ascii="方正黑体_GBK" w:hAnsi="方正黑体_GBK" w:eastAsia="方正黑体_GBK" w:cs="方正黑体_GBK"/>
          <w:szCs w:val="21"/>
          <w:highlight w:val="none"/>
        </w:rPr>
        <w:t>1  编制背景</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_Toc6340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9</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0"/>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"_Toc11477" </w:instrText>
      </w:r>
      <w:r>
        <w:rPr>
          <w:highlight w:val="none"/>
        </w:rPr>
        <w:fldChar w:fldCharType="separate"/>
      </w:r>
      <w:r>
        <w:rPr>
          <w:rFonts w:hint="eastAsia" w:ascii="方正黑体_GBK" w:hAnsi="方正黑体_GBK" w:eastAsia="方正黑体_GBK" w:cs="方正黑体_GBK"/>
          <w:szCs w:val="21"/>
          <w:highlight w:val="none"/>
        </w:rPr>
        <w:t>2  编制主要原则</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_Toc11477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9</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0"/>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"_Toc17701" </w:instrText>
      </w:r>
      <w:r>
        <w:rPr>
          <w:highlight w:val="none"/>
        </w:rPr>
        <w:fldChar w:fldCharType="separate"/>
      </w:r>
      <w:r>
        <w:rPr>
          <w:rFonts w:hint="eastAsia" w:ascii="方正黑体_GBK" w:hAnsi="方正黑体_GBK" w:eastAsia="方正黑体_GBK" w:cs="方正黑体_GBK"/>
          <w:szCs w:val="21"/>
          <w:highlight w:val="none"/>
        </w:rPr>
        <w:t>3  与其他标准文件的关系</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_Toc17701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9</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0"/>
        <w:tabs>
          <w:tab w:val="right" w:leader="dot" w:pos="8306"/>
        </w:tabs>
        <w:rPr>
          <w:rFonts w:ascii="方正黑体_GBK" w:hAnsi="方正黑体_GBK" w:eastAsia="方正黑体_GBK" w:cs="方正黑体_GBK"/>
          <w:highlight w:val="none"/>
        </w:rPr>
      </w:pPr>
      <w:r>
        <w:rPr>
          <w:highlight w:val="none"/>
        </w:rPr>
        <w:fldChar w:fldCharType="begin"/>
      </w:r>
      <w:r>
        <w:rPr>
          <w:highlight w:val="none"/>
        </w:rPr>
        <w:instrText xml:space="preserve"> HYPERLINK \l "_Toc8412" </w:instrText>
      </w:r>
      <w:r>
        <w:rPr>
          <w:highlight w:val="none"/>
        </w:rPr>
        <w:fldChar w:fldCharType="separate"/>
      </w:r>
      <w:r>
        <w:rPr>
          <w:rFonts w:hint="eastAsia" w:ascii="方正黑体_GBK" w:hAnsi="方正黑体_GBK" w:eastAsia="方正黑体_GBK" w:cs="方正黑体_GBK"/>
          <w:szCs w:val="21"/>
          <w:highlight w:val="none"/>
        </w:rPr>
        <w:t>4  主要工作过程</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_Toc8412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9</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pStyle w:val="10"/>
        <w:tabs>
          <w:tab w:val="right" w:leader="dot" w:pos="8306"/>
        </w:tabs>
        <w:rPr>
          <w:highlight w:val="none"/>
        </w:rPr>
      </w:pPr>
      <w:r>
        <w:rPr>
          <w:highlight w:val="none"/>
        </w:rPr>
        <w:fldChar w:fldCharType="begin"/>
      </w:r>
      <w:r>
        <w:rPr>
          <w:highlight w:val="none"/>
        </w:rPr>
        <w:instrText xml:space="preserve"> HYPERLINK \l "_Toc31026" </w:instrText>
      </w:r>
      <w:r>
        <w:rPr>
          <w:highlight w:val="none"/>
        </w:rPr>
        <w:fldChar w:fldCharType="separate"/>
      </w:r>
      <w:r>
        <w:rPr>
          <w:rFonts w:hint="eastAsia" w:ascii="方正黑体_GBK" w:hAnsi="方正黑体_GBK" w:eastAsia="方正黑体_GBK" w:cs="方正黑体_GBK"/>
          <w:szCs w:val="21"/>
          <w:highlight w:val="none"/>
        </w:rPr>
        <w:t>5  标准的结构和内容</w:t>
      </w:r>
      <w:r>
        <w:rPr>
          <w:rFonts w:hint="eastAsia" w:ascii="方正黑体_GBK" w:hAnsi="方正黑体_GBK" w:eastAsia="方正黑体_GBK" w:cs="方正黑体_GBK"/>
          <w:highlight w:val="none"/>
        </w:rPr>
        <w:tab/>
      </w:r>
      <w:r>
        <w:rPr>
          <w:rFonts w:hint="eastAsia" w:ascii="方正黑体_GBK" w:hAnsi="方正黑体_GBK" w:eastAsia="方正黑体_GBK" w:cs="方正黑体_GBK"/>
          <w:highlight w:val="none"/>
        </w:rPr>
        <w:fldChar w:fldCharType="begin"/>
      </w:r>
      <w:r>
        <w:rPr>
          <w:rFonts w:hint="eastAsia" w:ascii="方正黑体_GBK" w:hAnsi="方正黑体_GBK" w:eastAsia="方正黑体_GBK" w:cs="方正黑体_GBK"/>
          <w:highlight w:val="none"/>
        </w:rPr>
        <w:instrText xml:space="preserve"> PAGEREF _Toc31026 </w:instrText>
      </w:r>
      <w:r>
        <w:rPr>
          <w:rFonts w:hint="eastAsia" w:ascii="方正黑体_GBK" w:hAnsi="方正黑体_GBK" w:eastAsia="方正黑体_GBK" w:cs="方正黑体_GBK"/>
          <w:highlight w:val="none"/>
        </w:rPr>
        <w:fldChar w:fldCharType="separate"/>
      </w:r>
      <w:r>
        <w:rPr>
          <w:rFonts w:hint="eastAsia" w:ascii="方正黑体_GBK" w:hAnsi="方正黑体_GBK" w:eastAsia="方正黑体_GBK" w:cs="方正黑体_GBK"/>
          <w:highlight w:val="none"/>
        </w:rPr>
        <w:t>10</w:t>
      </w:r>
      <w:r>
        <w:rPr>
          <w:rFonts w:hint="eastAsia" w:ascii="方正黑体_GBK" w:hAnsi="方正黑体_GBK" w:eastAsia="方正黑体_GBK" w:cs="方正黑体_GBK"/>
          <w:highlight w:val="none"/>
        </w:rPr>
        <w:fldChar w:fldCharType="end"/>
      </w:r>
      <w:r>
        <w:rPr>
          <w:rFonts w:hint="eastAsia" w:ascii="方正黑体_GBK" w:hAnsi="方正黑体_GBK" w:eastAsia="方正黑体_GBK" w:cs="方正黑体_GBK"/>
          <w:highlight w:val="none"/>
        </w:rPr>
        <w:fldChar w:fldCharType="end"/>
      </w:r>
    </w:p>
    <w:p>
      <w:pPr>
        <w:widowControl/>
        <w:jc w:val="left"/>
        <w:rPr>
          <w:rFonts w:ascii="黑体" w:hAnsi="黑体" w:eastAsia="黑体"/>
          <w:sz w:val="32"/>
          <w:szCs w:val="32"/>
          <w:highlight w:val="none"/>
        </w:rPr>
        <w:sectPr>
          <w:footerReference r:id="rId6" w:type="default"/>
          <w:footerReference r:id="rId7" w:type="even"/>
          <w:pgSz w:w="11906" w:h="16838"/>
          <w:pgMar w:top="1440" w:right="1800" w:bottom="1440" w:left="1800" w:header="851" w:footer="992" w:gutter="0"/>
          <w:pgNumType w:fmt="upperRoman" w:start="1"/>
          <w:cols w:space="425" w:num="1"/>
          <w:docGrid w:type="lines" w:linePitch="312" w:charSpace="0"/>
        </w:sectPr>
      </w:pPr>
      <w:r>
        <w:rPr>
          <w:rFonts w:ascii="宋体" w:hAnsi="宋体" w:eastAsia="宋体"/>
          <w:highlight w:val="none"/>
        </w:rPr>
        <w:fldChar w:fldCharType="end"/>
      </w:r>
    </w:p>
    <w:p>
      <w:pPr>
        <w:jc w:val="center"/>
        <w:rPr>
          <w:rFonts w:ascii="黑体" w:hAnsi="黑体" w:eastAsia="黑体"/>
          <w:sz w:val="32"/>
          <w:szCs w:val="32"/>
          <w:highlight w:val="none"/>
        </w:rPr>
      </w:pPr>
      <w:r>
        <w:rPr>
          <w:rFonts w:ascii="黑体" w:hAnsi="黑体" w:eastAsia="黑体"/>
          <w:sz w:val="32"/>
          <w:szCs w:val="32"/>
          <w:highlight w:val="none"/>
        </w:rPr>
        <w:t>前  言</w:t>
      </w:r>
    </w:p>
    <w:p>
      <w:pPr>
        <w:ind w:firstLine="420" w:firstLineChars="200"/>
        <w:rPr>
          <w:rFonts w:ascii="宋体" w:hAnsi="宋体" w:eastAsia="宋体"/>
          <w:szCs w:val="21"/>
          <w:highlight w:val="none"/>
        </w:rPr>
      </w:pPr>
      <w:r>
        <w:rPr>
          <w:rFonts w:hint="eastAsia" w:ascii="宋体" w:hAnsi="宋体" w:eastAsia="宋体"/>
          <w:szCs w:val="21"/>
          <w:highlight w:val="none"/>
        </w:rPr>
        <w:t>为进一步提升电力企业供电网格与政府行政网格融合工作质量，推动电力企业供电网格与政府行政网格的“共建共治共享”服务模式落地，指导各级电力企业落实政企网格融合服务工作，实现政企网格相互融合、相互促进、相互支持，全面提升电力企业网格化服务的便捷、精准、规范水平，增强人民群众用电获得感、满意度，按照国家</w:t>
      </w:r>
      <w:r>
        <w:rPr>
          <w:rFonts w:ascii="宋体" w:hAnsi="宋体" w:eastAsia="宋体"/>
          <w:szCs w:val="21"/>
          <w:highlight w:val="none"/>
        </w:rPr>
        <w:t>标准</w:t>
      </w:r>
      <w:r>
        <w:rPr>
          <w:rFonts w:hint="eastAsia" w:ascii="宋体" w:hAnsi="宋体" w:eastAsia="宋体"/>
          <w:szCs w:val="21"/>
          <w:highlight w:val="none"/>
        </w:rPr>
        <w:t>和行业标准有关要求</w:t>
      </w:r>
      <w:r>
        <w:rPr>
          <w:rFonts w:ascii="宋体" w:hAnsi="宋体" w:eastAsia="宋体"/>
          <w:szCs w:val="21"/>
          <w:highlight w:val="none"/>
        </w:rPr>
        <w:t>，在广泛征求意见的基础上，</w:t>
      </w:r>
      <w:r>
        <w:rPr>
          <w:rFonts w:hint="eastAsia" w:ascii="宋体" w:hAnsi="宋体" w:eastAsia="宋体"/>
          <w:szCs w:val="21"/>
          <w:highlight w:val="none"/>
        </w:rPr>
        <w:t>制定本规范</w:t>
      </w:r>
      <w:r>
        <w:rPr>
          <w:rFonts w:ascii="宋体" w:hAnsi="宋体" w:eastAsia="宋体"/>
          <w:szCs w:val="21"/>
          <w:highlight w:val="none"/>
        </w:rPr>
        <w:t>。</w:t>
      </w:r>
    </w:p>
    <w:p>
      <w:pPr>
        <w:ind w:firstLine="424" w:firstLineChars="202"/>
        <w:rPr>
          <w:rFonts w:ascii="宋体" w:hAnsi="宋体" w:eastAsia="宋体"/>
          <w:szCs w:val="21"/>
          <w:highlight w:val="none"/>
        </w:rPr>
      </w:pPr>
      <w:r>
        <w:rPr>
          <w:rFonts w:hint="eastAsia" w:ascii="宋体" w:hAnsi="宋体" w:eastAsia="宋体"/>
          <w:szCs w:val="21"/>
          <w:highlight w:val="none"/>
        </w:rPr>
        <w:t>本标准由山东省电力</w:t>
      </w:r>
      <w:r>
        <w:rPr>
          <w:rFonts w:hint="eastAsia" w:ascii="宋体" w:hAnsi="宋体" w:eastAsia="宋体"/>
          <w:szCs w:val="21"/>
          <w:highlight w:val="none"/>
          <w:lang w:val="en-US" w:eastAsia="zh-CN"/>
        </w:rPr>
        <w:t>行</w:t>
      </w:r>
      <w:r>
        <w:rPr>
          <w:rFonts w:hint="eastAsia" w:ascii="宋体" w:hAnsi="宋体" w:eastAsia="宋体"/>
          <w:szCs w:val="21"/>
          <w:highlight w:val="none"/>
        </w:rPr>
        <w:t>业协会提出并解释。</w:t>
      </w:r>
    </w:p>
    <w:p>
      <w:pPr>
        <w:ind w:firstLine="424" w:firstLineChars="202"/>
        <w:rPr>
          <w:rFonts w:ascii="宋体" w:hAnsi="宋体" w:eastAsia="宋体"/>
          <w:szCs w:val="21"/>
          <w:highlight w:val="none"/>
        </w:rPr>
      </w:pPr>
      <w:r>
        <w:rPr>
          <w:rFonts w:hint="eastAsia" w:ascii="宋体" w:hAnsi="宋体" w:eastAsia="宋体"/>
          <w:szCs w:val="21"/>
          <w:highlight w:val="none"/>
        </w:rPr>
        <w:t>本标准起</w:t>
      </w:r>
      <w:r>
        <w:rPr>
          <w:rFonts w:ascii="宋体" w:hAnsi="宋体" w:eastAsia="宋体"/>
          <w:szCs w:val="21"/>
          <w:highlight w:val="none"/>
        </w:rPr>
        <w:t>草单位</w:t>
      </w:r>
      <w:r>
        <w:rPr>
          <w:rFonts w:hint="eastAsia" w:ascii="宋体" w:hAnsi="宋体" w:eastAsia="宋体"/>
          <w:szCs w:val="21"/>
          <w:highlight w:val="none"/>
        </w:rPr>
        <w:t>：后续添加</w:t>
      </w:r>
    </w:p>
    <w:p>
      <w:pPr>
        <w:ind w:firstLine="424" w:firstLineChars="202"/>
        <w:rPr>
          <w:rFonts w:ascii="宋体" w:hAnsi="宋体" w:eastAsia="宋体"/>
          <w:szCs w:val="21"/>
          <w:highlight w:val="none"/>
        </w:rPr>
      </w:pPr>
      <w:r>
        <w:rPr>
          <w:rFonts w:hint="eastAsia" w:ascii="宋体" w:hAnsi="宋体" w:eastAsia="宋体"/>
          <w:szCs w:val="21"/>
          <w:highlight w:val="none"/>
        </w:rPr>
        <w:t>本标准</w:t>
      </w:r>
      <w:r>
        <w:rPr>
          <w:rFonts w:ascii="宋体" w:hAnsi="宋体" w:eastAsia="宋体"/>
          <w:szCs w:val="21"/>
          <w:highlight w:val="none"/>
        </w:rPr>
        <w:t>起草人</w:t>
      </w:r>
      <w:r>
        <w:rPr>
          <w:rFonts w:hint="eastAsia" w:ascii="宋体" w:hAnsi="宋体" w:eastAsia="宋体"/>
          <w:szCs w:val="21"/>
          <w:highlight w:val="none"/>
        </w:rPr>
        <w:t>：后续添加</w:t>
      </w:r>
    </w:p>
    <w:p>
      <w:pPr>
        <w:ind w:firstLine="424" w:firstLineChars="202"/>
        <w:rPr>
          <w:rFonts w:ascii="宋体" w:hAnsi="宋体" w:eastAsia="宋体"/>
          <w:szCs w:val="21"/>
          <w:highlight w:val="none"/>
        </w:rPr>
      </w:pPr>
      <w:r>
        <w:rPr>
          <w:rFonts w:hint="eastAsia" w:ascii="宋体" w:hAnsi="宋体" w:eastAsia="宋体"/>
          <w:szCs w:val="21"/>
          <w:highlight w:val="none"/>
        </w:rPr>
        <w:t>本标准于2</w:t>
      </w:r>
      <w:r>
        <w:rPr>
          <w:rFonts w:ascii="宋体" w:hAnsi="宋体" w:eastAsia="宋体"/>
          <w:szCs w:val="21"/>
          <w:highlight w:val="none"/>
        </w:rPr>
        <w:t>023</w:t>
      </w:r>
      <w:r>
        <w:rPr>
          <w:rFonts w:hint="eastAsia" w:ascii="宋体" w:hAnsi="宋体" w:eastAsia="宋体"/>
          <w:szCs w:val="21"/>
          <w:highlight w:val="none"/>
        </w:rPr>
        <w:t>年X月X日发布。</w:t>
      </w:r>
    </w:p>
    <w:p>
      <w:pPr>
        <w:ind w:firstLine="424" w:firstLineChars="202"/>
        <w:rPr>
          <w:rFonts w:ascii="宋体" w:hAnsi="宋体" w:eastAsia="宋体"/>
          <w:szCs w:val="21"/>
          <w:highlight w:val="none"/>
        </w:rPr>
      </w:pPr>
      <w:r>
        <w:rPr>
          <w:rFonts w:hint="eastAsia" w:ascii="宋体" w:hAnsi="宋体" w:eastAsia="宋体"/>
          <w:szCs w:val="21"/>
          <w:highlight w:val="none"/>
        </w:rPr>
        <w:t>本标准在执行过程中的意见或建议反馈至山东省电力</w:t>
      </w:r>
      <w:r>
        <w:rPr>
          <w:rFonts w:hint="eastAsia" w:ascii="宋体" w:hAnsi="宋体" w:eastAsia="宋体"/>
          <w:szCs w:val="21"/>
          <w:highlight w:val="none"/>
          <w:lang w:val="en-US" w:eastAsia="zh-CN"/>
        </w:rPr>
        <w:t>行</w:t>
      </w:r>
      <w:r>
        <w:rPr>
          <w:rFonts w:hint="eastAsia" w:ascii="宋体" w:hAnsi="宋体" w:eastAsia="宋体"/>
          <w:szCs w:val="21"/>
          <w:highlight w:val="none"/>
        </w:rPr>
        <w:t>业协会。</w:t>
      </w:r>
    </w:p>
    <w:p>
      <w:pPr>
        <w:ind w:firstLine="424" w:firstLineChars="202"/>
        <w:rPr>
          <w:rFonts w:ascii="宋体" w:hAnsi="宋体" w:eastAsia="宋体"/>
          <w:szCs w:val="21"/>
          <w:highlight w:val="none"/>
        </w:rPr>
      </w:pPr>
    </w:p>
    <w:p>
      <w:pPr>
        <w:ind w:firstLine="424" w:firstLineChars="202"/>
        <w:rPr>
          <w:rFonts w:ascii="宋体" w:hAnsi="宋体" w:eastAsia="宋体"/>
          <w:color w:val="000000" w:themeColor="text1"/>
          <w:szCs w:val="21"/>
          <w:highlight w:val="none"/>
          <w14:textFill>
            <w14:solidFill>
              <w14:schemeClr w14:val="tx1"/>
            </w14:solidFill>
          </w14:textFill>
        </w:rPr>
      </w:pPr>
    </w:p>
    <w:p>
      <w:pPr>
        <w:ind w:firstLine="424" w:firstLineChars="202"/>
        <w:rPr>
          <w:rFonts w:ascii="宋体" w:hAnsi="宋体" w:eastAsia="宋体"/>
          <w:color w:val="000000" w:themeColor="text1"/>
          <w:szCs w:val="21"/>
          <w:highlight w:val="none"/>
          <w14:textFill>
            <w14:solidFill>
              <w14:schemeClr w14:val="tx1"/>
            </w14:solidFill>
          </w14:textFill>
        </w:rPr>
      </w:pPr>
    </w:p>
    <w:p>
      <w:pPr>
        <w:jc w:val="center"/>
        <w:rPr>
          <w:rFonts w:ascii="黑体" w:hAnsi="黑体" w:eastAsia="黑体"/>
          <w:sz w:val="32"/>
          <w:szCs w:val="32"/>
          <w:highlight w:val="none"/>
        </w:rPr>
        <w:sectPr>
          <w:footerReference r:id="rId8" w:type="default"/>
          <w:footerReference r:id="rId9" w:type="even"/>
          <w:pgSz w:w="11906" w:h="16838"/>
          <w:pgMar w:top="1440" w:right="1800" w:bottom="1440" w:left="1800" w:header="851" w:footer="992" w:gutter="0"/>
          <w:pgNumType w:fmt="upperRoman" w:start="1"/>
          <w:cols w:space="425" w:num="1"/>
          <w:docGrid w:type="lines" w:linePitch="312" w:charSpace="0"/>
        </w:sectPr>
      </w:pPr>
    </w:p>
    <w:p>
      <w:pPr>
        <w:jc w:val="center"/>
        <w:rPr>
          <w:rFonts w:ascii="黑体" w:hAnsi="黑体" w:eastAsia="黑体"/>
          <w:sz w:val="52"/>
          <w:szCs w:val="52"/>
          <w:highlight w:val="none"/>
        </w:rPr>
      </w:pPr>
      <w:r>
        <w:rPr>
          <w:rFonts w:hint="eastAsia" w:ascii="黑体" w:hAnsi="黑体" w:eastAsia="黑体"/>
          <w:sz w:val="32"/>
          <w:szCs w:val="32"/>
          <w:highlight w:val="none"/>
        </w:rPr>
        <w:t>电力企业政企网格“共建共治共享”融合服务规范</w:t>
      </w:r>
    </w:p>
    <w:p>
      <w:pPr>
        <w:pStyle w:val="2"/>
        <w:rPr>
          <w:rFonts w:ascii="黑体" w:hAnsi="黑体" w:eastAsia="黑体"/>
          <w:b w:val="0"/>
          <w:bCs w:val="0"/>
          <w:sz w:val="21"/>
          <w:szCs w:val="21"/>
          <w:highlight w:val="none"/>
        </w:rPr>
      </w:pPr>
      <w:bookmarkStart w:id="2" w:name="_Toc11024"/>
      <w:bookmarkStart w:id="3" w:name="_Toc5402"/>
      <w:bookmarkStart w:id="4" w:name="_Toc132559275"/>
      <w:bookmarkStart w:id="5" w:name="_Toc11078"/>
      <w:bookmarkStart w:id="6" w:name="_Toc98498893"/>
      <w:r>
        <w:rPr>
          <w:rFonts w:ascii="黑体" w:hAnsi="黑体" w:eastAsia="黑体"/>
          <w:b w:val="0"/>
          <w:bCs w:val="0"/>
          <w:sz w:val="21"/>
          <w:szCs w:val="21"/>
          <w:highlight w:val="none"/>
        </w:rPr>
        <w:t>1  范围</w:t>
      </w:r>
      <w:bookmarkEnd w:id="2"/>
      <w:bookmarkEnd w:id="3"/>
      <w:bookmarkEnd w:id="4"/>
      <w:bookmarkEnd w:id="5"/>
      <w:bookmarkEnd w:id="6"/>
    </w:p>
    <w:p>
      <w:pPr>
        <w:ind w:firstLine="405" w:firstLineChars="193"/>
        <w:rPr>
          <w:rFonts w:ascii="宋体" w:hAnsi="宋体" w:eastAsia="宋体"/>
          <w:szCs w:val="21"/>
          <w:highlight w:val="none"/>
        </w:rPr>
      </w:pPr>
      <w:r>
        <w:rPr>
          <w:rFonts w:hint="eastAsia" w:ascii="宋体" w:hAnsi="宋体" w:eastAsia="宋体"/>
          <w:szCs w:val="21"/>
          <w:highlight w:val="none"/>
        </w:rPr>
        <w:t>本规范规定了各级电力企业在政企网格融合服务中，提供的各项服务活动和服务资源协调的基本要求。本规范适用于取得电力业务许可证（供电类）的电力企业、配电运营商、开展网格化管理的电力行业企业，在政企网格融合服务工作开展过程中，电力企业及政府网格化管理部门</w:t>
      </w:r>
      <w:r>
        <w:rPr>
          <w:rFonts w:hint="eastAsia" w:ascii="宋体" w:hAnsi="宋体" w:eastAsia="宋体"/>
          <w:szCs w:val="21"/>
          <w:highlight w:val="none"/>
          <w:lang w:bidi="ar"/>
        </w:rPr>
        <w:t>可在此基础上制定实施细则，</w:t>
      </w:r>
      <w:r>
        <w:rPr>
          <w:rFonts w:hint="eastAsia" w:ascii="宋体" w:hAnsi="宋体" w:eastAsia="宋体"/>
          <w:szCs w:val="21"/>
          <w:highlight w:val="none"/>
        </w:rPr>
        <w:t>但具体要求不应低于本规范的相关要求。</w:t>
      </w:r>
    </w:p>
    <w:p>
      <w:pPr>
        <w:widowControl/>
        <w:ind w:firstLine="420" w:firstLineChars="200"/>
        <w:jc w:val="left"/>
        <w:rPr>
          <w:szCs w:val="21"/>
          <w:highlight w:val="none"/>
        </w:rPr>
      </w:pPr>
      <w:r>
        <w:rPr>
          <w:rFonts w:hint="eastAsia" w:ascii="宋体" w:hAnsi="宋体" w:eastAsia="宋体" w:cs="宋体"/>
          <w:color w:val="000000"/>
          <w:kern w:val="0"/>
          <w:szCs w:val="21"/>
          <w:highlight w:val="none"/>
          <w:lang w:bidi="ar"/>
        </w:rPr>
        <w:t>本规范不等同于对外的服务承诺，仅作为企业内部开展政企网格融合服务工作时应达到的基本要求。</w:t>
      </w:r>
    </w:p>
    <w:p>
      <w:pPr>
        <w:pStyle w:val="2"/>
        <w:rPr>
          <w:rFonts w:ascii="黑体" w:hAnsi="黑体" w:eastAsia="黑体"/>
          <w:b w:val="0"/>
          <w:bCs w:val="0"/>
          <w:sz w:val="21"/>
          <w:szCs w:val="21"/>
          <w:highlight w:val="none"/>
        </w:rPr>
      </w:pPr>
      <w:bookmarkStart w:id="7" w:name="_Toc11592"/>
      <w:bookmarkStart w:id="8" w:name="_Toc1259"/>
      <w:bookmarkStart w:id="9" w:name="_Toc98498894"/>
      <w:bookmarkStart w:id="10" w:name="_Toc2186"/>
      <w:bookmarkStart w:id="11" w:name="_Toc132559276"/>
      <w:r>
        <w:rPr>
          <w:rFonts w:ascii="黑体" w:hAnsi="黑体" w:eastAsia="黑体"/>
          <w:b w:val="0"/>
          <w:bCs w:val="0"/>
          <w:sz w:val="21"/>
          <w:szCs w:val="21"/>
          <w:highlight w:val="none"/>
        </w:rPr>
        <w:t>2  规范性引用文件</w:t>
      </w:r>
      <w:bookmarkEnd w:id="7"/>
      <w:bookmarkEnd w:id="8"/>
      <w:bookmarkEnd w:id="9"/>
      <w:bookmarkEnd w:id="10"/>
      <w:bookmarkEnd w:id="11"/>
    </w:p>
    <w:p>
      <w:pPr>
        <w:ind w:firstLine="424" w:firstLineChars="202"/>
        <w:rPr>
          <w:rFonts w:ascii="宋体" w:hAnsi="宋体" w:eastAsia="宋体"/>
          <w:szCs w:val="21"/>
          <w:highlight w:val="none"/>
        </w:rPr>
      </w:pPr>
      <w:r>
        <w:rPr>
          <w:rFonts w:hint="eastAsia" w:ascii="宋体" w:hAnsi="宋体" w:eastAsia="宋体"/>
          <w:szCs w:val="21"/>
          <w:highlight w:val="none"/>
        </w:rPr>
        <w:t>下列文件对于本文件的应用是必不可少的。凡是注明日期的引用文件，仅所注日期的版本适用于本文件。凡是不注日期的引用文件，其最新版本（包括所有的修改单）适用于本文件。</w:t>
      </w:r>
    </w:p>
    <w:p>
      <w:pPr>
        <w:ind w:firstLine="424" w:firstLineChars="202"/>
        <w:rPr>
          <w:rFonts w:ascii="宋体" w:hAnsi="宋体" w:eastAsia="宋体"/>
          <w:szCs w:val="21"/>
          <w:highlight w:val="none"/>
        </w:rPr>
      </w:pPr>
      <w:r>
        <w:rPr>
          <w:rFonts w:ascii="宋体" w:hAnsi="宋体" w:eastAsia="宋体"/>
          <w:szCs w:val="21"/>
          <w:highlight w:val="none"/>
        </w:rPr>
        <w:t>GB/T 28583-2012 供电服务</w:t>
      </w:r>
      <w:r>
        <w:rPr>
          <w:rFonts w:hint="eastAsia" w:ascii="宋体" w:hAnsi="宋体" w:eastAsia="宋体"/>
          <w:szCs w:val="21"/>
          <w:highlight w:val="none"/>
        </w:rPr>
        <w:t>规范</w:t>
      </w:r>
    </w:p>
    <w:p>
      <w:pPr>
        <w:ind w:firstLine="424" w:firstLineChars="202"/>
        <w:rPr>
          <w:rFonts w:ascii="宋体" w:hAnsi="宋体" w:eastAsia="宋体"/>
          <w:szCs w:val="21"/>
          <w:highlight w:val="none"/>
        </w:rPr>
      </w:pPr>
      <w:r>
        <w:rPr>
          <w:rFonts w:hint="eastAsia" w:ascii="宋体" w:hAnsi="宋体" w:eastAsia="宋体"/>
          <w:szCs w:val="21"/>
          <w:highlight w:val="none"/>
        </w:rPr>
        <w:t>DL/T 2046-2019  供电服务热线客户服务规范</w:t>
      </w:r>
    </w:p>
    <w:p>
      <w:pPr>
        <w:ind w:firstLine="424" w:firstLineChars="202"/>
        <w:rPr>
          <w:rFonts w:ascii="宋体" w:hAnsi="宋体" w:eastAsia="宋体"/>
          <w:szCs w:val="21"/>
          <w:highlight w:val="none"/>
        </w:rPr>
      </w:pPr>
      <w:r>
        <w:rPr>
          <w:rFonts w:ascii="宋体" w:hAnsi="宋体" w:eastAsia="宋体"/>
          <w:szCs w:val="21"/>
          <w:highlight w:val="none"/>
        </w:rPr>
        <w:t xml:space="preserve">GB/T 34300-2017 </w:t>
      </w:r>
      <w:r>
        <w:rPr>
          <w:rFonts w:hint="eastAsia" w:ascii="宋体" w:hAnsi="宋体" w:eastAsia="宋体"/>
          <w:szCs w:val="21"/>
          <w:highlight w:val="none"/>
        </w:rPr>
        <w:t>城乡社区网格化服务管理规范</w:t>
      </w:r>
    </w:p>
    <w:p>
      <w:pPr>
        <w:pStyle w:val="2"/>
        <w:rPr>
          <w:rFonts w:ascii="黑体" w:hAnsi="黑体" w:eastAsia="黑体"/>
          <w:b w:val="0"/>
          <w:bCs w:val="0"/>
          <w:sz w:val="21"/>
          <w:szCs w:val="21"/>
          <w:highlight w:val="none"/>
        </w:rPr>
      </w:pPr>
      <w:bookmarkStart w:id="12" w:name="_Toc132559277"/>
      <w:bookmarkStart w:id="13" w:name="_Toc26679"/>
      <w:bookmarkStart w:id="14" w:name="_Toc23084"/>
      <w:bookmarkStart w:id="15" w:name="_Toc28825"/>
      <w:bookmarkStart w:id="16" w:name="_Toc98498895"/>
      <w:r>
        <w:rPr>
          <w:rFonts w:ascii="黑体" w:hAnsi="黑体" w:eastAsia="黑体"/>
          <w:b w:val="0"/>
          <w:bCs w:val="0"/>
          <w:sz w:val="21"/>
          <w:szCs w:val="21"/>
          <w:highlight w:val="none"/>
        </w:rPr>
        <w:t>3  术语和定义</w:t>
      </w:r>
      <w:bookmarkEnd w:id="12"/>
      <w:bookmarkEnd w:id="13"/>
      <w:bookmarkEnd w:id="14"/>
      <w:bookmarkEnd w:id="15"/>
      <w:bookmarkEnd w:id="16"/>
    </w:p>
    <w:p>
      <w:pPr>
        <w:spacing w:before="156" w:beforeLines="50" w:after="156" w:afterLines="50"/>
        <w:rPr>
          <w:rFonts w:ascii="黑体" w:hAnsi="黑体" w:eastAsia="黑体"/>
          <w:highlight w:val="none"/>
        </w:rPr>
      </w:pPr>
      <w:r>
        <w:rPr>
          <w:rFonts w:hint="eastAsia" w:ascii="黑体" w:hAnsi="黑体" w:eastAsia="黑体"/>
          <w:highlight w:val="none"/>
        </w:rPr>
        <w:t>3</w:t>
      </w:r>
      <w:r>
        <w:rPr>
          <w:rFonts w:ascii="黑体" w:hAnsi="黑体" w:eastAsia="黑体"/>
          <w:highlight w:val="none"/>
        </w:rPr>
        <w:t xml:space="preserve">.1  </w:t>
      </w:r>
      <w:r>
        <w:rPr>
          <w:rFonts w:hint="eastAsia" w:ascii="黑体" w:hAnsi="黑体" w:eastAsia="黑体"/>
          <w:highlight w:val="none"/>
        </w:rPr>
        <w:t xml:space="preserve">政府网格 </w:t>
      </w:r>
      <w:r>
        <w:rPr>
          <w:rFonts w:ascii="黑体" w:hAnsi="黑体" w:eastAsia="黑体"/>
          <w:highlight w:val="none"/>
        </w:rPr>
        <w:t>government grid</w:t>
      </w:r>
    </w:p>
    <w:p>
      <w:pPr>
        <w:spacing w:before="156" w:beforeLines="50" w:after="156" w:afterLines="50"/>
        <w:ind w:firstLine="424" w:firstLineChars="202"/>
        <w:rPr>
          <w:rFonts w:ascii="宋体" w:hAnsi="宋体" w:eastAsia="宋体"/>
          <w:szCs w:val="21"/>
          <w:highlight w:val="none"/>
        </w:rPr>
      </w:pPr>
      <w:r>
        <w:rPr>
          <w:rFonts w:hint="eastAsia" w:ascii="宋体" w:hAnsi="宋体" w:eastAsia="宋体"/>
          <w:szCs w:val="21"/>
          <w:highlight w:val="none"/>
        </w:rPr>
        <w:t>在城乡社区、行政村以及其他特定空间区域内划分的基层服务管理单元。</w:t>
      </w:r>
    </w:p>
    <w:p>
      <w:pPr>
        <w:spacing w:before="156" w:beforeLines="50" w:after="156" w:afterLines="50"/>
        <w:rPr>
          <w:rFonts w:ascii="黑体" w:hAnsi="黑体" w:eastAsia="黑体"/>
          <w:highlight w:val="none"/>
        </w:rPr>
      </w:pPr>
      <w:r>
        <w:rPr>
          <w:rFonts w:hint="eastAsia" w:ascii="黑体" w:hAnsi="黑体" w:eastAsia="黑体"/>
          <w:highlight w:val="none"/>
        </w:rPr>
        <w:t>3</w:t>
      </w:r>
      <w:r>
        <w:rPr>
          <w:rFonts w:ascii="黑体" w:hAnsi="黑体" w:eastAsia="黑体"/>
          <w:highlight w:val="none"/>
        </w:rPr>
        <w:t xml:space="preserve">.2  </w:t>
      </w:r>
      <w:r>
        <w:rPr>
          <w:rFonts w:hint="eastAsia" w:ascii="黑体" w:hAnsi="黑体" w:eastAsia="黑体"/>
          <w:highlight w:val="none"/>
        </w:rPr>
        <w:t xml:space="preserve">电力企业网格 </w:t>
      </w:r>
      <w:r>
        <w:rPr>
          <w:rFonts w:ascii="黑体" w:hAnsi="黑体" w:eastAsia="黑体"/>
          <w:highlight w:val="none"/>
        </w:rPr>
        <w:t>electric power enterprise grid</w:t>
      </w:r>
    </w:p>
    <w:p>
      <w:pPr>
        <w:spacing w:before="156" w:beforeLines="50" w:after="156" w:afterLines="50"/>
        <w:ind w:firstLine="424" w:firstLineChars="202"/>
        <w:rPr>
          <w:rFonts w:ascii="宋体" w:hAnsi="宋体" w:eastAsia="宋体"/>
          <w:szCs w:val="21"/>
          <w:highlight w:val="none"/>
        </w:rPr>
      </w:pPr>
      <w:r>
        <w:rPr>
          <w:rFonts w:hint="eastAsia" w:ascii="宋体" w:hAnsi="宋体" w:eastAsia="宋体"/>
          <w:szCs w:val="21"/>
          <w:highlight w:val="none"/>
        </w:rPr>
        <w:t>由电力企业根据线路、台区、营业区域等而划定的便于电力企业开展日常生产活动、服务工作的区域名称。</w:t>
      </w:r>
    </w:p>
    <w:p>
      <w:pPr>
        <w:spacing w:before="156" w:beforeLines="50" w:after="156" w:afterLines="50"/>
        <w:rPr>
          <w:rFonts w:ascii="黑体" w:hAnsi="黑体" w:eastAsia="黑体"/>
          <w:highlight w:val="none"/>
        </w:rPr>
      </w:pPr>
      <w:r>
        <w:rPr>
          <w:rFonts w:hint="eastAsia" w:ascii="黑体" w:hAnsi="黑体" w:eastAsia="黑体"/>
          <w:highlight w:val="none"/>
        </w:rPr>
        <w:t>3</w:t>
      </w:r>
      <w:r>
        <w:rPr>
          <w:rFonts w:ascii="黑体" w:hAnsi="黑体" w:eastAsia="黑体"/>
          <w:highlight w:val="none"/>
        </w:rPr>
        <w:t xml:space="preserve">.3  </w:t>
      </w:r>
      <w:r>
        <w:rPr>
          <w:rFonts w:hint="eastAsia" w:ascii="黑体" w:hAnsi="黑体" w:eastAsia="黑体"/>
          <w:highlight w:val="none"/>
        </w:rPr>
        <w:t xml:space="preserve">政府网格员 </w:t>
      </w:r>
      <w:r>
        <w:rPr>
          <w:rFonts w:ascii="黑体" w:hAnsi="黑体" w:eastAsia="黑体"/>
          <w:highlight w:val="none"/>
        </w:rPr>
        <w:t>g</w:t>
      </w:r>
      <w:r>
        <w:rPr>
          <w:rFonts w:hint="eastAsia" w:ascii="黑体" w:hAnsi="黑体" w:eastAsia="黑体"/>
          <w:highlight w:val="none"/>
        </w:rPr>
        <w:t>o</w:t>
      </w:r>
      <w:r>
        <w:rPr>
          <w:rFonts w:ascii="黑体" w:hAnsi="黑体" w:eastAsia="黑体"/>
          <w:highlight w:val="none"/>
        </w:rPr>
        <w:t>vernment grid officer</w:t>
      </w:r>
    </w:p>
    <w:p>
      <w:pPr>
        <w:spacing w:before="156" w:beforeLines="50" w:after="156" w:afterLines="50"/>
        <w:ind w:firstLine="424" w:firstLineChars="202"/>
        <w:rPr>
          <w:rFonts w:ascii="宋体" w:hAnsi="宋体" w:eastAsia="宋体"/>
          <w:szCs w:val="21"/>
          <w:highlight w:val="none"/>
        </w:rPr>
      </w:pPr>
      <w:r>
        <w:rPr>
          <w:rFonts w:hint="eastAsia" w:ascii="宋体" w:hAnsi="宋体" w:eastAsia="宋体"/>
          <w:szCs w:val="21"/>
          <w:highlight w:val="none"/>
        </w:rPr>
        <w:t>在政府网格内从事管理工作的人员。</w:t>
      </w:r>
    </w:p>
    <w:p>
      <w:pPr>
        <w:spacing w:before="156" w:beforeLines="50" w:after="156" w:afterLines="50"/>
        <w:rPr>
          <w:rFonts w:ascii="黑体" w:hAnsi="黑体" w:eastAsia="黑体"/>
          <w:highlight w:val="none"/>
        </w:rPr>
      </w:pPr>
      <w:r>
        <w:rPr>
          <w:rFonts w:hint="eastAsia" w:ascii="黑体" w:hAnsi="黑体" w:eastAsia="黑体"/>
          <w:highlight w:val="none"/>
        </w:rPr>
        <w:t>3</w:t>
      </w:r>
      <w:r>
        <w:rPr>
          <w:rFonts w:ascii="黑体" w:hAnsi="黑体" w:eastAsia="黑体"/>
          <w:highlight w:val="none"/>
        </w:rPr>
        <w:t xml:space="preserve">.4  </w:t>
      </w:r>
      <w:r>
        <w:rPr>
          <w:rFonts w:hint="eastAsia" w:ascii="黑体" w:hAnsi="黑体" w:eastAsia="黑体"/>
          <w:highlight w:val="none"/>
        </w:rPr>
        <w:t xml:space="preserve">电力企业网格经理 </w:t>
      </w:r>
      <w:r>
        <w:rPr>
          <w:rFonts w:ascii="黑体" w:hAnsi="黑体" w:eastAsia="黑体"/>
          <w:highlight w:val="none"/>
        </w:rPr>
        <w:t>power enterprise grid manager</w:t>
      </w:r>
    </w:p>
    <w:p>
      <w:pPr>
        <w:spacing w:before="156" w:beforeLines="50" w:after="156" w:afterLines="50"/>
        <w:ind w:firstLine="424" w:firstLineChars="202"/>
        <w:rPr>
          <w:rFonts w:ascii="宋体" w:hAnsi="宋体" w:eastAsia="宋体"/>
          <w:szCs w:val="21"/>
          <w:highlight w:val="none"/>
        </w:rPr>
      </w:pPr>
      <w:r>
        <w:rPr>
          <w:rFonts w:hint="eastAsia" w:ascii="宋体" w:hAnsi="宋体" w:eastAsia="宋体"/>
          <w:szCs w:val="21"/>
          <w:highlight w:val="none"/>
        </w:rPr>
        <w:t>在电力企业网格中开展城乡电力生产活动、供电服务工作的工作人员。</w:t>
      </w:r>
    </w:p>
    <w:p>
      <w:pPr>
        <w:spacing w:before="156" w:beforeLines="50" w:after="156" w:afterLines="50"/>
        <w:rPr>
          <w:rFonts w:ascii="黑体" w:hAnsi="黑体" w:eastAsia="黑体"/>
          <w:highlight w:val="none"/>
        </w:rPr>
      </w:pPr>
      <w:r>
        <w:rPr>
          <w:rFonts w:hint="eastAsia" w:ascii="黑体" w:hAnsi="黑体" w:eastAsia="黑体"/>
          <w:highlight w:val="none"/>
        </w:rPr>
        <w:t>3</w:t>
      </w:r>
      <w:r>
        <w:rPr>
          <w:rFonts w:ascii="黑体" w:hAnsi="黑体" w:eastAsia="黑体"/>
          <w:highlight w:val="none"/>
        </w:rPr>
        <w:t xml:space="preserve">.5  </w:t>
      </w:r>
      <w:r>
        <w:rPr>
          <w:rFonts w:hint="eastAsia" w:ascii="黑体" w:hAnsi="黑体" w:eastAsia="黑体"/>
          <w:highlight w:val="none"/>
        </w:rPr>
        <w:t xml:space="preserve">电力企业客户经理 </w:t>
      </w:r>
      <w:r>
        <w:rPr>
          <w:rFonts w:ascii="黑体" w:hAnsi="黑体" w:eastAsia="黑体"/>
          <w:highlight w:val="none"/>
        </w:rPr>
        <w:t>power enterprise customer manager</w:t>
      </w:r>
    </w:p>
    <w:p>
      <w:pPr>
        <w:ind w:firstLine="424" w:firstLineChars="202"/>
        <w:rPr>
          <w:rFonts w:ascii="宋体" w:hAnsi="宋体" w:eastAsia="宋体"/>
          <w:szCs w:val="21"/>
          <w:highlight w:val="none"/>
        </w:rPr>
      </w:pPr>
      <w:r>
        <w:rPr>
          <w:rFonts w:hint="eastAsia" w:ascii="宋体" w:hAnsi="宋体" w:eastAsia="宋体"/>
          <w:szCs w:val="21"/>
          <w:highlight w:val="none"/>
        </w:rPr>
        <w:t>在电力企业网格中开展高、低压供电服务工作人员。</w:t>
      </w:r>
    </w:p>
    <w:p>
      <w:pPr>
        <w:spacing w:before="156" w:beforeLines="50" w:after="156" w:afterLines="50"/>
        <w:rPr>
          <w:rFonts w:ascii="黑体" w:hAnsi="黑体" w:eastAsia="黑体"/>
          <w:highlight w:val="none"/>
        </w:rPr>
      </w:pPr>
      <w:r>
        <w:rPr>
          <w:rFonts w:hint="eastAsia" w:ascii="黑体" w:hAnsi="黑体" w:eastAsia="黑体"/>
          <w:highlight w:val="none"/>
        </w:rPr>
        <w:t>3</w:t>
      </w:r>
      <w:r>
        <w:rPr>
          <w:rFonts w:ascii="黑体" w:hAnsi="黑体" w:eastAsia="黑体"/>
          <w:highlight w:val="none"/>
        </w:rPr>
        <w:t>.6</w:t>
      </w:r>
      <w:r>
        <w:rPr>
          <w:rFonts w:hint="eastAsia" w:ascii="黑体" w:hAnsi="黑体" w:eastAsia="黑体"/>
          <w:highlight w:val="none"/>
        </w:rPr>
        <w:t xml:space="preserve">  政企网格融合 </w:t>
      </w:r>
      <w:r>
        <w:rPr>
          <w:rFonts w:ascii="黑体" w:hAnsi="黑体" w:eastAsia="黑体"/>
          <w:highlight w:val="none"/>
        </w:rPr>
        <w:t>government and enterprise grid integration</w:t>
      </w:r>
    </w:p>
    <w:p>
      <w:pPr>
        <w:ind w:firstLine="424" w:firstLineChars="202"/>
        <w:rPr>
          <w:rFonts w:ascii="宋体" w:hAnsi="宋体" w:eastAsia="宋体"/>
          <w:szCs w:val="21"/>
          <w:highlight w:val="none"/>
        </w:rPr>
      </w:pPr>
      <w:r>
        <w:rPr>
          <w:rFonts w:hint="eastAsia" w:ascii="宋体" w:hAnsi="宋体" w:eastAsia="宋体"/>
          <w:szCs w:val="21"/>
          <w:highlight w:val="none"/>
        </w:rPr>
        <w:t>政府网格管理部门与电力企业、政府网格员与网格经理（客户经理）分层级开展对接、共建，形成政府与企业开展共建、共治、共享的服务模式。</w:t>
      </w:r>
    </w:p>
    <w:p>
      <w:pPr>
        <w:spacing w:before="156" w:beforeLines="50" w:after="156" w:afterLines="50"/>
        <w:rPr>
          <w:rFonts w:ascii="黑体" w:hAnsi="黑体" w:eastAsia="黑体"/>
          <w:highlight w:val="none"/>
        </w:rPr>
      </w:pPr>
      <w:r>
        <w:rPr>
          <w:rFonts w:hint="eastAsia" w:ascii="黑体" w:hAnsi="黑体" w:eastAsia="黑体"/>
          <w:highlight w:val="none"/>
        </w:rPr>
        <w:t>3</w:t>
      </w:r>
      <w:r>
        <w:rPr>
          <w:rFonts w:ascii="黑体" w:hAnsi="黑体" w:eastAsia="黑体"/>
          <w:highlight w:val="none"/>
        </w:rPr>
        <w:t xml:space="preserve">.7  </w:t>
      </w:r>
      <w:r>
        <w:rPr>
          <w:rFonts w:hint="eastAsia" w:ascii="黑体" w:hAnsi="黑体" w:eastAsia="黑体"/>
          <w:highlight w:val="none"/>
        </w:rPr>
        <w:t xml:space="preserve">涉电诉求 </w:t>
      </w:r>
      <w:r>
        <w:rPr>
          <w:rFonts w:ascii="黑体" w:hAnsi="黑体" w:eastAsia="黑体"/>
          <w:highlight w:val="none"/>
        </w:rPr>
        <w:t>electricity related claims</w:t>
      </w:r>
    </w:p>
    <w:p>
      <w:pPr>
        <w:ind w:firstLine="424" w:firstLineChars="202"/>
        <w:rPr>
          <w:rFonts w:ascii="宋体" w:hAnsi="宋体" w:eastAsia="宋体"/>
          <w:szCs w:val="21"/>
          <w:highlight w:val="none"/>
        </w:rPr>
      </w:pPr>
      <w:r>
        <w:rPr>
          <w:rFonts w:hint="eastAsia" w:ascii="宋体" w:hAnsi="宋体" w:eastAsia="宋体"/>
          <w:szCs w:val="21"/>
          <w:highlight w:val="none"/>
        </w:rPr>
        <w:t>各级政府网格、电力企业的服务对象所提出的与电力相关安全、服务有关的咨询、业务办理、意见、建议等的需求。</w:t>
      </w:r>
    </w:p>
    <w:p>
      <w:pPr>
        <w:spacing w:before="156" w:beforeLines="50" w:after="156" w:afterLines="50"/>
        <w:rPr>
          <w:rFonts w:ascii="黑体" w:hAnsi="黑体" w:eastAsia="黑体"/>
          <w:highlight w:val="none"/>
        </w:rPr>
      </w:pPr>
      <w:r>
        <w:rPr>
          <w:rFonts w:hint="eastAsia" w:ascii="黑体" w:hAnsi="黑体" w:eastAsia="黑体"/>
          <w:highlight w:val="none"/>
        </w:rPr>
        <w:t>3</w:t>
      </w:r>
      <w:r>
        <w:rPr>
          <w:rFonts w:ascii="黑体" w:hAnsi="黑体" w:eastAsia="黑体"/>
          <w:highlight w:val="none"/>
        </w:rPr>
        <w:t>.</w:t>
      </w:r>
      <w:r>
        <w:rPr>
          <w:rFonts w:hint="eastAsia" w:ascii="黑体" w:hAnsi="黑体" w:eastAsia="黑体"/>
          <w:highlight w:val="none"/>
        </w:rPr>
        <w:t>8</w:t>
      </w:r>
      <w:r>
        <w:rPr>
          <w:rFonts w:ascii="黑体" w:hAnsi="黑体" w:eastAsia="黑体"/>
          <w:highlight w:val="none"/>
        </w:rPr>
        <w:t xml:space="preserve">  </w:t>
      </w:r>
      <w:r>
        <w:rPr>
          <w:rFonts w:hint="eastAsia" w:ascii="黑体" w:hAnsi="黑体" w:eastAsia="黑体"/>
          <w:highlight w:val="none"/>
        </w:rPr>
        <w:t xml:space="preserve">涉电业务 </w:t>
      </w:r>
      <w:r>
        <w:rPr>
          <w:rFonts w:ascii="黑体" w:hAnsi="黑体" w:eastAsia="黑体"/>
          <w:highlight w:val="none"/>
        </w:rPr>
        <w:t>electricity related business</w:t>
      </w:r>
    </w:p>
    <w:p>
      <w:pPr>
        <w:ind w:firstLine="424" w:firstLineChars="202"/>
        <w:rPr>
          <w:rFonts w:ascii="宋体" w:hAnsi="宋体" w:eastAsia="宋体"/>
          <w:szCs w:val="21"/>
          <w:highlight w:val="none"/>
        </w:rPr>
      </w:pPr>
      <w:r>
        <w:rPr>
          <w:rFonts w:hint="eastAsia" w:ascii="宋体" w:hAnsi="宋体" w:eastAsia="宋体"/>
          <w:szCs w:val="21"/>
          <w:highlight w:val="none"/>
        </w:rPr>
        <w:t>由各电力企业根据自身业务实际、管理要求，在满足各级政府网格、电力企业的服务对象为获得电力而开展的业务事项。</w:t>
      </w:r>
    </w:p>
    <w:p>
      <w:pPr>
        <w:spacing w:before="156" w:beforeLines="50" w:after="156" w:afterLines="50"/>
        <w:rPr>
          <w:rFonts w:ascii="黑体" w:hAnsi="黑体" w:eastAsia="黑体"/>
          <w:highlight w:val="none"/>
        </w:rPr>
      </w:pPr>
      <w:r>
        <w:rPr>
          <w:rFonts w:hint="eastAsia" w:ascii="黑体" w:hAnsi="黑体" w:eastAsia="黑体"/>
          <w:highlight w:val="none"/>
        </w:rPr>
        <w:t>3</w:t>
      </w:r>
      <w:r>
        <w:rPr>
          <w:rFonts w:ascii="黑体" w:hAnsi="黑体" w:eastAsia="黑体"/>
          <w:highlight w:val="none"/>
        </w:rPr>
        <w:t>.</w:t>
      </w:r>
      <w:r>
        <w:rPr>
          <w:rFonts w:hint="eastAsia" w:ascii="黑体" w:hAnsi="黑体" w:eastAsia="黑体"/>
          <w:highlight w:val="none"/>
        </w:rPr>
        <w:t>9</w:t>
      </w:r>
      <w:r>
        <w:rPr>
          <w:rFonts w:ascii="黑体" w:hAnsi="黑体" w:eastAsia="黑体"/>
          <w:highlight w:val="none"/>
        </w:rPr>
        <w:t xml:space="preserve">  </w:t>
      </w:r>
      <w:r>
        <w:rPr>
          <w:rFonts w:hint="eastAsia" w:ascii="黑体" w:hAnsi="黑体" w:eastAsia="黑体"/>
          <w:highlight w:val="none"/>
        </w:rPr>
        <w:t xml:space="preserve">能效服务 </w:t>
      </w:r>
      <w:r>
        <w:rPr>
          <w:rFonts w:ascii="黑体" w:hAnsi="黑体" w:eastAsia="黑体"/>
          <w:highlight w:val="none"/>
        </w:rPr>
        <w:t>energy efficiency services</w:t>
      </w:r>
    </w:p>
    <w:p>
      <w:pPr>
        <w:ind w:firstLine="424" w:firstLineChars="202"/>
        <w:rPr>
          <w:rFonts w:ascii="宋体" w:hAnsi="宋体" w:eastAsia="宋体"/>
          <w:szCs w:val="21"/>
          <w:highlight w:val="none"/>
        </w:rPr>
      </w:pPr>
      <w:r>
        <w:rPr>
          <w:rFonts w:hint="eastAsia" w:ascii="宋体" w:hAnsi="宋体" w:eastAsia="宋体"/>
          <w:szCs w:val="21"/>
          <w:highlight w:val="none"/>
        </w:rPr>
        <w:t>各级电力企业在落实国家“双碳”政策过程中开展的致力于客户节能减排、提升能源利用效率等的新兴业务形式，主要区别于传统电力供应与电力服务。</w:t>
      </w:r>
    </w:p>
    <w:p>
      <w:pPr>
        <w:pStyle w:val="2"/>
        <w:rPr>
          <w:rFonts w:ascii="黑体" w:hAnsi="黑体" w:eastAsia="黑体"/>
          <w:b w:val="0"/>
          <w:bCs w:val="0"/>
          <w:sz w:val="21"/>
          <w:szCs w:val="21"/>
          <w:highlight w:val="none"/>
        </w:rPr>
      </w:pPr>
      <w:bookmarkStart w:id="17" w:name="_Toc98498899"/>
      <w:bookmarkStart w:id="18" w:name="_Toc24490"/>
      <w:bookmarkStart w:id="19" w:name="_Toc15423"/>
      <w:bookmarkStart w:id="20" w:name="_Toc17780"/>
      <w:bookmarkStart w:id="21" w:name="_Toc132559278"/>
      <w:r>
        <w:rPr>
          <w:rFonts w:ascii="黑体" w:hAnsi="黑体" w:eastAsia="黑体"/>
          <w:b w:val="0"/>
          <w:bCs w:val="0"/>
          <w:sz w:val="21"/>
          <w:szCs w:val="21"/>
          <w:highlight w:val="none"/>
        </w:rPr>
        <w:t xml:space="preserve">4 </w:t>
      </w:r>
      <w:r>
        <w:rPr>
          <w:rFonts w:hint="eastAsia" w:ascii="黑体" w:hAnsi="黑体" w:eastAsia="黑体"/>
          <w:b w:val="0"/>
          <w:bCs w:val="0"/>
          <w:sz w:val="21"/>
          <w:szCs w:val="21"/>
          <w:highlight w:val="none"/>
        </w:rPr>
        <w:t xml:space="preserve"> </w:t>
      </w:r>
      <w:bookmarkEnd w:id="17"/>
      <w:bookmarkEnd w:id="18"/>
      <w:r>
        <w:rPr>
          <w:rFonts w:hint="eastAsia" w:ascii="黑体" w:hAnsi="黑体" w:eastAsia="黑体"/>
          <w:b w:val="0"/>
          <w:bCs w:val="0"/>
          <w:sz w:val="21"/>
          <w:szCs w:val="21"/>
          <w:highlight w:val="none"/>
        </w:rPr>
        <w:t>政企网格融合服务模式</w:t>
      </w:r>
      <w:bookmarkEnd w:id="19"/>
      <w:bookmarkEnd w:id="20"/>
      <w:bookmarkEnd w:id="21"/>
    </w:p>
    <w:p>
      <w:pPr>
        <w:pStyle w:val="3"/>
        <w:spacing w:before="156" w:beforeLines="50" w:after="156" w:afterLines="50"/>
        <w:rPr>
          <w:rFonts w:ascii="黑体" w:hAnsi="黑体" w:eastAsia="黑体"/>
          <w:b w:val="0"/>
          <w:bCs w:val="0"/>
          <w:sz w:val="21"/>
          <w:szCs w:val="21"/>
          <w:highlight w:val="none"/>
        </w:rPr>
      </w:pPr>
      <w:bookmarkStart w:id="22" w:name="_Toc25241"/>
      <w:bookmarkStart w:id="23" w:name="_Toc20702"/>
      <w:bookmarkStart w:id="24" w:name="_Toc132559279"/>
      <w:bookmarkStart w:id="25" w:name="_Toc16563"/>
      <w:r>
        <w:rPr>
          <w:rFonts w:hint="eastAsia" w:ascii="黑体" w:hAnsi="黑体" w:eastAsia="黑体"/>
          <w:b w:val="0"/>
          <w:bCs w:val="0"/>
          <w:sz w:val="21"/>
          <w:szCs w:val="21"/>
          <w:highlight w:val="none"/>
        </w:rPr>
        <w:t xml:space="preserve">4.1  </w:t>
      </w:r>
      <w:bookmarkEnd w:id="22"/>
      <w:r>
        <w:rPr>
          <w:rFonts w:hint="eastAsia" w:ascii="黑体" w:hAnsi="黑体" w:eastAsia="黑体"/>
          <w:b w:val="0"/>
          <w:bCs w:val="0"/>
          <w:sz w:val="21"/>
          <w:szCs w:val="21"/>
          <w:highlight w:val="none"/>
        </w:rPr>
        <w:t>强化政企网格共建</w:t>
      </w:r>
      <w:bookmarkEnd w:id="23"/>
      <w:bookmarkEnd w:id="24"/>
      <w:bookmarkEnd w:id="25"/>
    </w:p>
    <w:p>
      <w:pPr>
        <w:spacing w:before="156" w:beforeLines="50"/>
        <w:rPr>
          <w:rFonts w:ascii="宋体" w:hAnsi="宋体" w:eastAsia="宋体"/>
          <w:highlight w:val="none"/>
        </w:rPr>
      </w:pPr>
      <w:bookmarkStart w:id="26" w:name="_Toc14296"/>
      <w:r>
        <w:rPr>
          <w:rFonts w:ascii="黑体" w:hAnsi="黑体" w:eastAsia="黑体"/>
          <w:highlight w:val="none"/>
        </w:rPr>
        <w:t xml:space="preserve">4.1.1 </w:t>
      </w:r>
      <w:r>
        <w:rPr>
          <w:rFonts w:hint="eastAsia" w:ascii="宋体" w:hAnsi="宋体" w:eastAsia="宋体"/>
          <w:highlight w:val="none"/>
        </w:rPr>
        <w:t>推动党组织结对共建。各级电力企业与政府网格管理部门开展组织结对，建立健全组织结对管理机制，定期开展主题党日、交流学习等结对共建活动，充分发挥党建引领作用，协商解决服务对象涉电诉求。</w:t>
      </w:r>
    </w:p>
    <w:p>
      <w:pPr>
        <w:spacing w:before="156" w:beforeLines="50"/>
        <w:rPr>
          <w:rFonts w:ascii="宋体" w:hAnsi="宋体" w:eastAsia="宋体"/>
          <w:highlight w:val="none"/>
        </w:rPr>
      </w:pPr>
      <w:r>
        <w:rPr>
          <w:rFonts w:hint="eastAsia" w:ascii="黑体" w:hAnsi="黑体" w:eastAsia="黑体"/>
          <w:highlight w:val="none"/>
        </w:rPr>
        <w:t>4</w:t>
      </w:r>
      <w:r>
        <w:rPr>
          <w:rFonts w:ascii="黑体" w:hAnsi="黑体" w:eastAsia="黑体"/>
          <w:highlight w:val="none"/>
        </w:rPr>
        <w:t xml:space="preserve">.1.2 </w:t>
      </w:r>
      <w:r>
        <w:rPr>
          <w:rFonts w:hint="eastAsia" w:ascii="宋体" w:hAnsi="宋体" w:eastAsia="宋体"/>
          <w:highlight w:val="none"/>
        </w:rPr>
        <w:t>推动服务渠道共建。各级电力企业应将自身服务渠道与属地政府网格服务渠道进行结合，整合“水电气暖”服务渠道资源，加强便民服务站点等渠道延伸建设，推广线上便民服务渠道的建设与推广应用，健全并规范属地化网格服务渠道管理。</w:t>
      </w:r>
    </w:p>
    <w:p>
      <w:pPr>
        <w:pStyle w:val="3"/>
        <w:spacing w:before="156" w:beforeLines="50" w:after="156" w:afterLines="50"/>
        <w:rPr>
          <w:rFonts w:ascii="黑体" w:hAnsi="黑体" w:eastAsia="黑体"/>
          <w:b w:val="0"/>
          <w:bCs w:val="0"/>
          <w:sz w:val="21"/>
          <w:szCs w:val="21"/>
          <w:highlight w:val="none"/>
        </w:rPr>
      </w:pPr>
      <w:bookmarkStart w:id="27" w:name="_Toc132559280"/>
      <w:bookmarkStart w:id="28" w:name="_Toc15728"/>
      <w:bookmarkStart w:id="29" w:name="_Toc705"/>
      <w:r>
        <w:rPr>
          <w:rFonts w:hint="eastAsia" w:ascii="黑体" w:hAnsi="黑体" w:eastAsia="黑体"/>
          <w:b w:val="0"/>
          <w:bCs w:val="0"/>
          <w:sz w:val="21"/>
          <w:szCs w:val="21"/>
          <w:highlight w:val="none"/>
        </w:rPr>
        <w:t xml:space="preserve">4.2  </w:t>
      </w:r>
      <w:bookmarkEnd w:id="26"/>
      <w:r>
        <w:rPr>
          <w:rFonts w:hint="eastAsia" w:ascii="黑体" w:hAnsi="黑体" w:eastAsia="黑体"/>
          <w:b w:val="0"/>
          <w:bCs w:val="0"/>
          <w:sz w:val="21"/>
          <w:szCs w:val="21"/>
          <w:highlight w:val="none"/>
        </w:rPr>
        <w:t>推动网格问题共治</w:t>
      </w:r>
      <w:bookmarkEnd w:id="27"/>
      <w:bookmarkEnd w:id="28"/>
      <w:bookmarkEnd w:id="29"/>
    </w:p>
    <w:p>
      <w:pPr>
        <w:spacing w:before="156" w:beforeLines="50"/>
        <w:rPr>
          <w:rFonts w:ascii="宋体" w:hAnsi="宋体" w:eastAsia="宋体"/>
          <w:highlight w:val="none"/>
        </w:rPr>
      </w:pPr>
      <w:r>
        <w:rPr>
          <w:rFonts w:hint="eastAsia" w:ascii="黑体" w:hAnsi="黑体" w:eastAsia="黑体"/>
          <w:highlight w:val="none"/>
        </w:rPr>
        <w:t>4</w:t>
      </w:r>
      <w:r>
        <w:rPr>
          <w:rFonts w:ascii="黑体" w:hAnsi="黑体" w:eastAsia="黑体"/>
          <w:highlight w:val="none"/>
        </w:rPr>
        <w:t xml:space="preserve">.2.1 </w:t>
      </w:r>
      <w:r>
        <w:rPr>
          <w:rFonts w:hint="eastAsia" w:ascii="宋体" w:hAnsi="宋体" w:eastAsia="宋体"/>
          <w:highlight w:val="none"/>
        </w:rPr>
        <w:t>推动网格涉电诉求共治。电力企业网格经理、客户经理主动融入政府网格治理工作，按照政府网格管理规定处理涉电诉求，做到“网格吹哨，电力报到”，借助政府网格平台高效解决民事协调、涉电纠纷等工作难题。</w:t>
      </w:r>
    </w:p>
    <w:p>
      <w:pPr>
        <w:spacing w:before="156" w:beforeLines="50"/>
        <w:rPr>
          <w:rFonts w:ascii="宋体" w:hAnsi="宋体" w:eastAsia="宋体"/>
          <w:highlight w:val="none"/>
        </w:rPr>
      </w:pPr>
      <w:r>
        <w:rPr>
          <w:rFonts w:hint="eastAsia" w:ascii="黑体" w:hAnsi="黑体" w:eastAsia="黑体"/>
          <w:highlight w:val="none"/>
        </w:rPr>
        <w:t>4</w:t>
      </w:r>
      <w:r>
        <w:rPr>
          <w:rFonts w:ascii="黑体" w:hAnsi="黑体" w:eastAsia="黑体"/>
          <w:highlight w:val="none"/>
        </w:rPr>
        <w:t xml:space="preserve">.2.2 </w:t>
      </w:r>
      <w:r>
        <w:rPr>
          <w:rFonts w:hint="eastAsia" w:ascii="宋体" w:hAnsi="宋体" w:eastAsia="宋体"/>
          <w:highlight w:val="none"/>
        </w:rPr>
        <w:t>推动网格安全隐患共治。电力企业将安全隐患排查治理、违约违章治理、供电质量治理等工作融入到政府网格日常工作，共同推动网格安全隐患治理工作，为政府网格人员提供专业支撑。</w:t>
      </w:r>
    </w:p>
    <w:p>
      <w:pPr>
        <w:pStyle w:val="3"/>
        <w:spacing w:before="156" w:beforeLines="50" w:after="156" w:afterLines="50"/>
        <w:rPr>
          <w:rFonts w:ascii="黑体" w:hAnsi="黑体" w:eastAsia="黑体"/>
          <w:b w:val="0"/>
          <w:bCs w:val="0"/>
          <w:sz w:val="21"/>
          <w:szCs w:val="21"/>
          <w:highlight w:val="none"/>
        </w:rPr>
      </w:pPr>
      <w:bookmarkStart w:id="30" w:name="_Toc29347"/>
      <w:bookmarkStart w:id="31" w:name="_Toc8893"/>
      <w:bookmarkStart w:id="32" w:name="_Toc132559281"/>
      <w:bookmarkStart w:id="33" w:name="_Toc8204"/>
      <w:r>
        <w:rPr>
          <w:rFonts w:hint="eastAsia" w:ascii="黑体" w:hAnsi="黑体" w:eastAsia="黑体"/>
          <w:b w:val="0"/>
          <w:bCs w:val="0"/>
          <w:sz w:val="21"/>
          <w:szCs w:val="21"/>
          <w:highlight w:val="none"/>
        </w:rPr>
        <w:t xml:space="preserve">4.3  </w:t>
      </w:r>
      <w:bookmarkEnd w:id="30"/>
      <w:r>
        <w:rPr>
          <w:rFonts w:hint="eastAsia" w:ascii="黑体" w:hAnsi="黑体" w:eastAsia="黑体"/>
          <w:b w:val="0"/>
          <w:bCs w:val="0"/>
          <w:sz w:val="21"/>
          <w:szCs w:val="21"/>
          <w:highlight w:val="none"/>
        </w:rPr>
        <w:t>落实网格资源共享</w:t>
      </w:r>
      <w:bookmarkEnd w:id="31"/>
      <w:bookmarkEnd w:id="32"/>
      <w:bookmarkEnd w:id="33"/>
    </w:p>
    <w:p>
      <w:pPr>
        <w:spacing w:before="156" w:beforeLines="50"/>
        <w:rPr>
          <w:rFonts w:ascii="宋体" w:hAnsi="宋体" w:eastAsia="宋体"/>
          <w:highlight w:val="none"/>
        </w:rPr>
      </w:pPr>
      <w:bookmarkStart w:id="34" w:name="_Hlk97929969"/>
      <w:bookmarkStart w:id="35" w:name="_Toc98498900"/>
      <w:bookmarkStart w:id="36" w:name="_Toc29140"/>
      <w:r>
        <w:rPr>
          <w:rFonts w:ascii="黑体" w:hAnsi="黑体" w:eastAsia="黑体"/>
          <w:highlight w:val="none"/>
        </w:rPr>
        <w:t>4.3.1</w:t>
      </w:r>
      <w:r>
        <w:rPr>
          <w:rFonts w:ascii="宋体" w:hAnsi="宋体" w:eastAsia="宋体"/>
          <w:highlight w:val="none"/>
        </w:rPr>
        <w:t xml:space="preserve"> </w:t>
      </w:r>
      <w:r>
        <w:rPr>
          <w:rFonts w:hint="eastAsia" w:ascii="宋体" w:hAnsi="宋体" w:eastAsia="宋体"/>
          <w:highlight w:val="none"/>
        </w:rPr>
        <w:t>推动信息数据共享。电力企业应推动落实企业信息化平台与政府信息化平台贯通，建立健全档案信息共享管理机制，打破数据信息共享壁垒，提升政企网格融合协同服务效率。</w:t>
      </w:r>
    </w:p>
    <w:p>
      <w:pPr>
        <w:spacing w:before="156" w:beforeLines="50"/>
        <w:rPr>
          <w:rFonts w:ascii="宋体" w:hAnsi="宋体" w:eastAsia="宋体"/>
          <w:highlight w:val="none"/>
        </w:rPr>
      </w:pPr>
      <w:r>
        <w:rPr>
          <w:rFonts w:ascii="黑体" w:hAnsi="黑体" w:eastAsia="黑体"/>
          <w:highlight w:val="none"/>
        </w:rPr>
        <w:t xml:space="preserve">4.3.2 </w:t>
      </w:r>
      <w:r>
        <w:rPr>
          <w:rFonts w:hint="eastAsia" w:ascii="宋体" w:hAnsi="宋体" w:eastAsia="宋体"/>
          <w:highlight w:val="none"/>
        </w:rPr>
        <w:t>推动专业知识共享。电力企业应建立健全涉电专业知识共享机制，为政府网格工作人员赋能电力专业知识，协同政府网格开展电力知识进社区、进村庄等，协助政府网格员开展涉电宣传工作。</w:t>
      </w:r>
    </w:p>
    <w:p>
      <w:pPr>
        <w:spacing w:before="156" w:beforeLines="50"/>
        <w:rPr>
          <w:rFonts w:ascii="宋体" w:hAnsi="宋体" w:eastAsia="宋体"/>
          <w:highlight w:val="none"/>
        </w:rPr>
      </w:pPr>
      <w:r>
        <w:rPr>
          <w:rFonts w:ascii="黑体" w:hAnsi="黑体" w:eastAsia="黑体"/>
          <w:highlight w:val="none"/>
        </w:rPr>
        <w:t xml:space="preserve">4.3.3 </w:t>
      </w:r>
      <w:r>
        <w:rPr>
          <w:rFonts w:hint="eastAsia" w:ascii="宋体" w:hAnsi="宋体" w:eastAsia="宋体"/>
          <w:highlight w:val="none"/>
        </w:rPr>
        <w:t>推动服务资源共享。电力企业应建立健全服务资源协调保障机制，推动政企网格融合服务人员、设施、场地等资源共享，发挥各方网格优势开展融合服务。</w:t>
      </w:r>
    </w:p>
    <w:p>
      <w:pPr>
        <w:pStyle w:val="2"/>
        <w:rPr>
          <w:rFonts w:ascii="黑体" w:hAnsi="黑体" w:eastAsia="黑体"/>
          <w:b w:val="0"/>
          <w:bCs w:val="0"/>
          <w:sz w:val="21"/>
          <w:szCs w:val="21"/>
          <w:highlight w:val="none"/>
        </w:rPr>
      </w:pPr>
      <w:bookmarkStart w:id="37" w:name="_Toc11132"/>
      <w:bookmarkStart w:id="38" w:name="_Toc132559282"/>
      <w:bookmarkStart w:id="39" w:name="_Toc26807"/>
      <w:r>
        <w:rPr>
          <w:rFonts w:ascii="黑体" w:hAnsi="黑体" w:eastAsia="黑体"/>
          <w:b w:val="0"/>
          <w:bCs w:val="0"/>
          <w:sz w:val="21"/>
          <w:szCs w:val="21"/>
          <w:highlight w:val="none"/>
        </w:rPr>
        <w:t xml:space="preserve">5  </w:t>
      </w:r>
      <w:bookmarkEnd w:id="34"/>
      <w:bookmarkEnd w:id="35"/>
      <w:bookmarkEnd w:id="36"/>
      <w:r>
        <w:rPr>
          <w:rFonts w:hint="eastAsia" w:ascii="黑体" w:hAnsi="黑体" w:eastAsia="黑体"/>
          <w:b w:val="0"/>
          <w:bCs w:val="0"/>
          <w:sz w:val="21"/>
          <w:szCs w:val="21"/>
          <w:highlight w:val="none"/>
        </w:rPr>
        <w:t>政企网格融合服务内容</w:t>
      </w:r>
      <w:bookmarkEnd w:id="37"/>
      <w:bookmarkEnd w:id="38"/>
      <w:bookmarkEnd w:id="39"/>
    </w:p>
    <w:p>
      <w:pPr>
        <w:pStyle w:val="3"/>
        <w:spacing w:before="156" w:beforeLines="50" w:after="156" w:afterLines="50"/>
        <w:rPr>
          <w:rFonts w:ascii="黑体" w:hAnsi="黑体" w:eastAsia="黑体"/>
          <w:b w:val="0"/>
          <w:bCs w:val="0"/>
          <w:sz w:val="21"/>
          <w:szCs w:val="21"/>
          <w:highlight w:val="none"/>
        </w:rPr>
      </w:pPr>
      <w:bookmarkStart w:id="40" w:name="_Toc132559283"/>
      <w:bookmarkStart w:id="41" w:name="_Toc3133"/>
      <w:bookmarkStart w:id="42" w:name="_Toc31287"/>
      <w:bookmarkStart w:id="43" w:name="_Toc7856"/>
      <w:r>
        <w:rPr>
          <w:rFonts w:hint="eastAsia" w:ascii="黑体" w:hAnsi="黑体" w:eastAsia="黑体"/>
          <w:b w:val="0"/>
          <w:bCs w:val="0"/>
          <w:sz w:val="21"/>
          <w:szCs w:val="21"/>
          <w:highlight w:val="none"/>
        </w:rPr>
        <w:t>5.</w:t>
      </w:r>
      <w:r>
        <w:rPr>
          <w:rFonts w:ascii="黑体" w:hAnsi="黑体" w:eastAsia="黑体"/>
          <w:b w:val="0"/>
          <w:bCs w:val="0"/>
          <w:sz w:val="21"/>
          <w:szCs w:val="21"/>
          <w:highlight w:val="none"/>
        </w:rPr>
        <w:t>1</w:t>
      </w:r>
      <w:r>
        <w:rPr>
          <w:rFonts w:hint="eastAsia" w:ascii="黑体" w:hAnsi="黑体" w:eastAsia="黑体"/>
          <w:b w:val="0"/>
          <w:bCs w:val="0"/>
          <w:sz w:val="21"/>
          <w:szCs w:val="21"/>
          <w:highlight w:val="none"/>
        </w:rPr>
        <w:t xml:space="preserve">  保障电力供应</w:t>
      </w:r>
      <w:bookmarkEnd w:id="40"/>
      <w:bookmarkEnd w:id="41"/>
      <w:bookmarkEnd w:id="42"/>
    </w:p>
    <w:p>
      <w:pPr>
        <w:spacing w:before="156" w:beforeLines="50"/>
        <w:rPr>
          <w:rFonts w:ascii="宋体" w:hAnsi="宋体" w:eastAsia="宋体"/>
          <w:highlight w:val="none"/>
        </w:rPr>
      </w:pPr>
      <w:r>
        <w:rPr>
          <w:rFonts w:hint="eastAsia" w:ascii="黑体" w:hAnsi="黑体" w:eastAsia="黑体"/>
          <w:highlight w:val="none"/>
        </w:rPr>
        <w:t>5</w:t>
      </w:r>
      <w:r>
        <w:rPr>
          <w:rFonts w:ascii="黑体" w:hAnsi="黑体" w:eastAsia="黑体"/>
          <w:highlight w:val="none"/>
        </w:rPr>
        <w:t xml:space="preserve">.1.1 </w:t>
      </w:r>
      <w:r>
        <w:rPr>
          <w:rFonts w:hint="eastAsia" w:ascii="宋体" w:hAnsi="宋体" w:eastAsia="宋体"/>
          <w:highlight w:val="none"/>
        </w:rPr>
        <w:t>各级电力企业应加强落实电力供应保障措施，深化新型电力负荷管理系统的建设与应用，优化网格内各类负荷资源参与需求响应，坚守民生用电底线。</w:t>
      </w:r>
    </w:p>
    <w:p>
      <w:pPr>
        <w:spacing w:before="156" w:beforeLines="50"/>
        <w:rPr>
          <w:rFonts w:ascii="宋体" w:hAnsi="宋体" w:eastAsia="宋体"/>
          <w:highlight w:val="none"/>
        </w:rPr>
      </w:pPr>
      <w:r>
        <w:rPr>
          <w:rFonts w:ascii="黑体" w:hAnsi="黑体" w:eastAsia="黑体"/>
          <w:highlight w:val="none"/>
        </w:rPr>
        <w:t xml:space="preserve">5.1.2 </w:t>
      </w:r>
      <w:r>
        <w:rPr>
          <w:rFonts w:hint="eastAsia" w:ascii="宋体" w:hAnsi="宋体" w:eastAsia="宋体"/>
          <w:highlight w:val="none"/>
        </w:rPr>
        <w:t>进一步强化重点民生设施、重点工业企业的电力供应保障，动态更新完善重点民生台账，做好网格内“煤改电”、供热换热站、自来水升压泵、物业公共附属设施等保供服务。</w:t>
      </w:r>
    </w:p>
    <w:p>
      <w:pPr>
        <w:spacing w:before="156" w:beforeLines="50"/>
        <w:rPr>
          <w:rFonts w:ascii="宋体" w:hAnsi="宋体" w:eastAsia="宋体"/>
          <w:highlight w:val="none"/>
        </w:rPr>
      </w:pPr>
      <w:r>
        <w:rPr>
          <w:rFonts w:ascii="黑体" w:hAnsi="黑体" w:eastAsia="黑体"/>
          <w:highlight w:val="none"/>
        </w:rPr>
        <w:t xml:space="preserve">5.1.3 </w:t>
      </w:r>
      <w:r>
        <w:rPr>
          <w:rFonts w:hint="eastAsia" w:ascii="宋体" w:hAnsi="宋体" w:eastAsia="宋体"/>
          <w:highlight w:val="none"/>
        </w:rPr>
        <w:t>推广不停电作业，深化带电检测、旁路作业、移动发电车作业等技术应用</w:t>
      </w:r>
      <w:r>
        <w:rPr>
          <w:rFonts w:hint="eastAsia" w:ascii="黑体" w:hAnsi="黑体" w:eastAsia="黑体"/>
          <w:highlight w:val="none"/>
        </w:rPr>
        <w:t>，</w:t>
      </w:r>
      <w:r>
        <w:rPr>
          <w:rFonts w:hint="eastAsia" w:ascii="宋体" w:hAnsi="宋体" w:eastAsia="宋体"/>
          <w:highlight w:val="none"/>
        </w:rPr>
        <w:t>实行“网格”主动运维模式，减少停电时间、次数。</w:t>
      </w:r>
    </w:p>
    <w:p>
      <w:pPr>
        <w:pStyle w:val="3"/>
        <w:spacing w:before="156" w:beforeLines="50" w:after="156" w:afterLines="50"/>
        <w:rPr>
          <w:rFonts w:ascii="黑体" w:hAnsi="黑体" w:eastAsia="黑体"/>
          <w:b w:val="0"/>
          <w:bCs w:val="0"/>
          <w:sz w:val="21"/>
          <w:szCs w:val="21"/>
          <w:highlight w:val="none"/>
        </w:rPr>
      </w:pPr>
      <w:bookmarkStart w:id="44" w:name="_Toc132559284"/>
      <w:bookmarkStart w:id="45" w:name="_Toc23117"/>
      <w:bookmarkStart w:id="46" w:name="_Toc19337"/>
      <w:r>
        <w:rPr>
          <w:rFonts w:hint="eastAsia" w:ascii="黑体" w:hAnsi="黑体" w:eastAsia="黑体"/>
          <w:b w:val="0"/>
          <w:bCs w:val="0"/>
          <w:sz w:val="21"/>
          <w:szCs w:val="21"/>
          <w:highlight w:val="none"/>
        </w:rPr>
        <w:t>5.</w:t>
      </w:r>
      <w:r>
        <w:rPr>
          <w:rFonts w:ascii="黑体" w:hAnsi="黑体" w:eastAsia="黑体"/>
          <w:b w:val="0"/>
          <w:bCs w:val="0"/>
          <w:sz w:val="21"/>
          <w:szCs w:val="21"/>
          <w:highlight w:val="none"/>
        </w:rPr>
        <w:t>2</w:t>
      </w:r>
      <w:r>
        <w:rPr>
          <w:rFonts w:hint="eastAsia" w:ascii="黑体" w:hAnsi="黑体" w:eastAsia="黑体"/>
          <w:b w:val="0"/>
          <w:bCs w:val="0"/>
          <w:sz w:val="21"/>
          <w:szCs w:val="21"/>
          <w:highlight w:val="none"/>
        </w:rPr>
        <w:t xml:space="preserve">  </w:t>
      </w:r>
      <w:bookmarkEnd w:id="43"/>
      <w:r>
        <w:rPr>
          <w:rFonts w:hint="eastAsia" w:ascii="黑体" w:hAnsi="黑体" w:eastAsia="黑体"/>
          <w:b w:val="0"/>
          <w:bCs w:val="0"/>
          <w:sz w:val="21"/>
          <w:szCs w:val="21"/>
          <w:highlight w:val="none"/>
        </w:rPr>
        <w:t>响应群众诉求</w:t>
      </w:r>
      <w:bookmarkEnd w:id="44"/>
      <w:bookmarkEnd w:id="45"/>
      <w:bookmarkEnd w:id="46"/>
    </w:p>
    <w:p>
      <w:pPr>
        <w:spacing w:before="156" w:beforeLines="50"/>
        <w:rPr>
          <w:rFonts w:ascii="宋体" w:hAnsi="宋体" w:eastAsia="宋体"/>
          <w:highlight w:val="none"/>
        </w:rPr>
      </w:pPr>
      <w:r>
        <w:rPr>
          <w:rFonts w:hint="eastAsia" w:ascii="黑体" w:hAnsi="黑体" w:eastAsia="黑体"/>
          <w:highlight w:val="none"/>
        </w:rPr>
        <w:t>5</w:t>
      </w:r>
      <w:r>
        <w:rPr>
          <w:rFonts w:ascii="黑体" w:hAnsi="黑体" w:eastAsia="黑体"/>
          <w:highlight w:val="none"/>
        </w:rPr>
        <w:t xml:space="preserve">.2.1 </w:t>
      </w:r>
      <w:r>
        <w:rPr>
          <w:rFonts w:hint="eastAsia" w:ascii="宋体" w:hAnsi="宋体" w:eastAsia="宋体"/>
          <w:highlight w:val="none"/>
        </w:rPr>
        <w:t>各级电力企业网格经理、客户经理应主动融入政府网格服务体系，对政府网格工作人员、群众、企业等服务对象的涉电诉求进行响应与答复。</w:t>
      </w:r>
    </w:p>
    <w:p>
      <w:pPr>
        <w:spacing w:before="156" w:beforeLines="50"/>
        <w:rPr>
          <w:rFonts w:ascii="宋体" w:hAnsi="宋体" w:eastAsia="宋体"/>
          <w:highlight w:val="none"/>
        </w:rPr>
      </w:pPr>
      <w:r>
        <w:rPr>
          <w:rFonts w:hint="eastAsia" w:ascii="黑体" w:hAnsi="黑体" w:eastAsia="黑体"/>
          <w:highlight w:val="none"/>
        </w:rPr>
        <w:t>5</w:t>
      </w:r>
      <w:r>
        <w:rPr>
          <w:rFonts w:ascii="黑体" w:hAnsi="黑体" w:eastAsia="黑体"/>
          <w:highlight w:val="none"/>
        </w:rPr>
        <w:t xml:space="preserve">.2.2 </w:t>
      </w:r>
      <w:r>
        <w:rPr>
          <w:rFonts w:hint="eastAsia" w:ascii="宋体" w:hAnsi="宋体" w:eastAsia="宋体"/>
          <w:highlight w:val="none"/>
        </w:rPr>
        <w:t>配合政府网格管理与服务相关工作，协同政府网格处理涉电问题，解决民事协调、涉电纠纷等难题。</w:t>
      </w:r>
    </w:p>
    <w:p>
      <w:pPr>
        <w:pStyle w:val="3"/>
        <w:spacing w:before="156" w:beforeLines="50" w:after="156" w:afterLines="50"/>
        <w:rPr>
          <w:rFonts w:ascii="黑体" w:hAnsi="黑体" w:eastAsia="黑体"/>
          <w:b w:val="0"/>
          <w:bCs w:val="0"/>
          <w:sz w:val="21"/>
          <w:szCs w:val="21"/>
          <w:highlight w:val="none"/>
        </w:rPr>
      </w:pPr>
      <w:bookmarkStart w:id="47" w:name="_Toc132559285"/>
      <w:bookmarkStart w:id="48" w:name="_Toc32676"/>
      <w:bookmarkStart w:id="49" w:name="_Toc26810"/>
      <w:r>
        <w:rPr>
          <w:rFonts w:hint="eastAsia" w:ascii="黑体" w:hAnsi="黑体" w:eastAsia="黑体"/>
          <w:b w:val="0"/>
          <w:bCs w:val="0"/>
          <w:sz w:val="21"/>
          <w:szCs w:val="21"/>
          <w:highlight w:val="none"/>
        </w:rPr>
        <w:t>5.</w:t>
      </w:r>
      <w:r>
        <w:rPr>
          <w:rFonts w:ascii="黑体" w:hAnsi="黑体" w:eastAsia="黑体"/>
          <w:b w:val="0"/>
          <w:bCs w:val="0"/>
          <w:sz w:val="21"/>
          <w:szCs w:val="21"/>
          <w:highlight w:val="none"/>
        </w:rPr>
        <w:t>3</w:t>
      </w:r>
      <w:r>
        <w:rPr>
          <w:rFonts w:hint="eastAsia" w:ascii="黑体" w:hAnsi="黑体" w:eastAsia="黑体"/>
          <w:b w:val="0"/>
          <w:bCs w:val="0"/>
          <w:sz w:val="21"/>
          <w:szCs w:val="21"/>
          <w:highlight w:val="none"/>
        </w:rPr>
        <w:t xml:space="preserve">  办理涉电业务</w:t>
      </w:r>
      <w:bookmarkEnd w:id="47"/>
      <w:bookmarkEnd w:id="48"/>
      <w:bookmarkEnd w:id="49"/>
    </w:p>
    <w:p>
      <w:pPr>
        <w:spacing w:before="156" w:beforeLines="50"/>
        <w:rPr>
          <w:rFonts w:ascii="宋体" w:hAnsi="宋体" w:eastAsia="宋体"/>
          <w:highlight w:val="none"/>
        </w:rPr>
      </w:pPr>
      <w:r>
        <w:rPr>
          <w:rFonts w:hint="eastAsia" w:ascii="黑体" w:hAnsi="黑体" w:eastAsia="黑体"/>
          <w:highlight w:val="none"/>
        </w:rPr>
        <w:t>5</w:t>
      </w:r>
      <w:r>
        <w:rPr>
          <w:rFonts w:ascii="黑体" w:hAnsi="黑体" w:eastAsia="黑体"/>
          <w:highlight w:val="none"/>
        </w:rPr>
        <w:t xml:space="preserve">.3.1 </w:t>
      </w:r>
      <w:r>
        <w:rPr>
          <w:rFonts w:hint="eastAsia" w:ascii="宋体" w:hAnsi="宋体" w:eastAsia="宋体"/>
          <w:highlight w:val="none"/>
        </w:rPr>
        <w:t>各级电力企业应加强与政府网格的涉电业务办理协同，遵守企业制定的各类规章制度，强化政企协同审批与渠道共建，简化涉电业务办理流程，缩短获得电力时限，降低办电成本。</w:t>
      </w:r>
    </w:p>
    <w:p>
      <w:pPr>
        <w:spacing w:before="156" w:beforeLines="50"/>
        <w:rPr>
          <w:rFonts w:ascii="宋体" w:hAnsi="宋体" w:eastAsia="宋体"/>
          <w:highlight w:val="none"/>
        </w:rPr>
      </w:pPr>
      <w:r>
        <w:rPr>
          <w:rFonts w:hint="eastAsia" w:ascii="黑体" w:hAnsi="黑体" w:eastAsia="黑体"/>
          <w:highlight w:val="none"/>
        </w:rPr>
        <w:t>5</w:t>
      </w:r>
      <w:r>
        <w:rPr>
          <w:rFonts w:ascii="黑体" w:hAnsi="黑体" w:eastAsia="黑体"/>
          <w:highlight w:val="none"/>
        </w:rPr>
        <w:t>.3.2</w:t>
      </w:r>
      <w:r>
        <w:rPr>
          <w:rFonts w:hint="eastAsia" w:ascii="宋体" w:hAnsi="宋体" w:eastAsia="宋体"/>
          <w:highlight w:val="none"/>
        </w:rPr>
        <w:t>贯通政府网格转办涉电业务通道，建立健全政企网格融合办理电力业务机制，规范服务、提升办电效率。</w:t>
      </w:r>
    </w:p>
    <w:p>
      <w:pPr>
        <w:pStyle w:val="3"/>
        <w:spacing w:before="156" w:beforeLines="50" w:after="156" w:afterLines="50"/>
        <w:rPr>
          <w:rFonts w:ascii="黑体" w:hAnsi="黑体" w:eastAsia="黑体"/>
          <w:b w:val="0"/>
          <w:bCs w:val="0"/>
          <w:sz w:val="21"/>
          <w:szCs w:val="21"/>
          <w:highlight w:val="none"/>
        </w:rPr>
      </w:pPr>
      <w:bookmarkStart w:id="50" w:name="_Toc29900"/>
      <w:bookmarkStart w:id="51" w:name="_Toc32646"/>
      <w:bookmarkStart w:id="52" w:name="_Toc132559286"/>
      <w:bookmarkStart w:id="53" w:name="_Toc13785"/>
      <w:r>
        <w:rPr>
          <w:rFonts w:hint="eastAsia" w:ascii="黑体" w:hAnsi="黑体" w:eastAsia="黑体"/>
          <w:b w:val="0"/>
          <w:bCs w:val="0"/>
          <w:sz w:val="21"/>
          <w:szCs w:val="21"/>
          <w:highlight w:val="none"/>
        </w:rPr>
        <w:t>5.</w:t>
      </w:r>
      <w:r>
        <w:rPr>
          <w:rFonts w:ascii="黑体" w:hAnsi="黑体" w:eastAsia="黑体"/>
          <w:b w:val="0"/>
          <w:bCs w:val="0"/>
          <w:sz w:val="21"/>
          <w:szCs w:val="21"/>
          <w:highlight w:val="none"/>
        </w:rPr>
        <w:t>4</w:t>
      </w:r>
      <w:r>
        <w:rPr>
          <w:rFonts w:hint="eastAsia" w:ascii="黑体" w:hAnsi="黑体" w:eastAsia="黑体"/>
          <w:b w:val="0"/>
          <w:bCs w:val="0"/>
          <w:sz w:val="21"/>
          <w:szCs w:val="21"/>
          <w:highlight w:val="none"/>
        </w:rPr>
        <w:t xml:space="preserve">  </w:t>
      </w:r>
      <w:bookmarkEnd w:id="50"/>
      <w:r>
        <w:rPr>
          <w:rFonts w:hint="eastAsia" w:ascii="黑体" w:hAnsi="黑体" w:eastAsia="黑体"/>
          <w:b w:val="0"/>
          <w:bCs w:val="0"/>
          <w:sz w:val="21"/>
          <w:szCs w:val="21"/>
          <w:highlight w:val="none"/>
        </w:rPr>
        <w:t>宣传政策信息</w:t>
      </w:r>
      <w:bookmarkEnd w:id="51"/>
      <w:bookmarkEnd w:id="52"/>
      <w:bookmarkEnd w:id="53"/>
    </w:p>
    <w:p>
      <w:pPr>
        <w:spacing w:before="156" w:beforeLines="50"/>
        <w:rPr>
          <w:rFonts w:ascii="宋体" w:hAnsi="宋体" w:eastAsia="宋体"/>
          <w:highlight w:val="none"/>
        </w:rPr>
      </w:pPr>
      <w:r>
        <w:rPr>
          <w:rFonts w:hint="eastAsia" w:ascii="黑体" w:hAnsi="黑体" w:eastAsia="黑体"/>
          <w:highlight w:val="none"/>
        </w:rPr>
        <w:t>5</w:t>
      </w:r>
      <w:r>
        <w:rPr>
          <w:rFonts w:ascii="黑体" w:hAnsi="黑体" w:eastAsia="黑体"/>
          <w:highlight w:val="none"/>
        </w:rPr>
        <w:t xml:space="preserve">.4.1 </w:t>
      </w:r>
      <w:r>
        <w:rPr>
          <w:rFonts w:hint="eastAsia" w:ascii="宋体" w:hAnsi="宋体" w:eastAsia="宋体"/>
          <w:highlight w:val="none"/>
        </w:rPr>
        <w:t>各级电力企业应借助政府网格管理与服务的渠道与载体，开展电力政策、信息宣传工作。</w:t>
      </w:r>
    </w:p>
    <w:p>
      <w:pPr>
        <w:spacing w:before="156" w:beforeLines="50"/>
        <w:rPr>
          <w:rFonts w:ascii="宋体" w:hAnsi="宋体" w:eastAsia="宋体"/>
          <w:highlight w:val="none"/>
        </w:rPr>
      </w:pPr>
      <w:r>
        <w:rPr>
          <w:rFonts w:hint="eastAsia" w:ascii="黑体" w:hAnsi="黑体" w:eastAsia="黑体"/>
          <w:highlight w:val="none"/>
        </w:rPr>
        <w:t>5</w:t>
      </w:r>
      <w:r>
        <w:rPr>
          <w:rFonts w:ascii="黑体" w:hAnsi="黑体" w:eastAsia="黑体"/>
          <w:highlight w:val="none"/>
        </w:rPr>
        <w:t xml:space="preserve">.4.2 </w:t>
      </w:r>
      <w:r>
        <w:rPr>
          <w:rFonts w:hint="eastAsia" w:ascii="宋体" w:hAnsi="宋体" w:eastAsia="宋体"/>
          <w:highlight w:val="none"/>
        </w:rPr>
        <w:t>按需开展驻点宣传，派发政策宣传资料、明白纸、告知书等，确保各类涉电政策信息及时、精准传递至服务对象。</w:t>
      </w:r>
    </w:p>
    <w:p>
      <w:pPr>
        <w:pStyle w:val="3"/>
        <w:spacing w:before="156" w:beforeLines="50" w:after="156" w:afterLines="50"/>
        <w:rPr>
          <w:rFonts w:ascii="黑体" w:hAnsi="黑体" w:eastAsia="黑体"/>
          <w:b w:val="0"/>
          <w:bCs w:val="0"/>
          <w:sz w:val="21"/>
          <w:szCs w:val="21"/>
          <w:highlight w:val="none"/>
        </w:rPr>
      </w:pPr>
      <w:bookmarkStart w:id="54" w:name="_Toc3059"/>
      <w:bookmarkStart w:id="55" w:name="_Toc132559287"/>
      <w:bookmarkStart w:id="56" w:name="_Toc32407"/>
      <w:bookmarkStart w:id="57" w:name="_Toc11804"/>
      <w:r>
        <w:rPr>
          <w:rFonts w:hint="eastAsia" w:ascii="黑体" w:hAnsi="黑体" w:eastAsia="黑体"/>
          <w:b w:val="0"/>
          <w:bCs w:val="0"/>
          <w:sz w:val="21"/>
          <w:szCs w:val="21"/>
          <w:highlight w:val="none"/>
        </w:rPr>
        <w:t>5.</w:t>
      </w:r>
      <w:r>
        <w:rPr>
          <w:rFonts w:ascii="黑体" w:hAnsi="黑体" w:eastAsia="黑体"/>
          <w:b w:val="0"/>
          <w:bCs w:val="0"/>
          <w:sz w:val="21"/>
          <w:szCs w:val="21"/>
          <w:highlight w:val="none"/>
        </w:rPr>
        <w:t>5</w:t>
      </w:r>
      <w:r>
        <w:rPr>
          <w:rFonts w:hint="eastAsia" w:ascii="黑体" w:hAnsi="黑体" w:eastAsia="黑体"/>
          <w:b w:val="0"/>
          <w:bCs w:val="0"/>
          <w:sz w:val="21"/>
          <w:szCs w:val="21"/>
          <w:highlight w:val="none"/>
        </w:rPr>
        <w:t xml:space="preserve">  </w:t>
      </w:r>
      <w:bookmarkEnd w:id="54"/>
      <w:r>
        <w:rPr>
          <w:rFonts w:hint="eastAsia" w:ascii="黑体" w:hAnsi="黑体" w:eastAsia="黑体"/>
          <w:b w:val="0"/>
          <w:bCs w:val="0"/>
          <w:sz w:val="21"/>
          <w:szCs w:val="21"/>
          <w:highlight w:val="none"/>
        </w:rPr>
        <w:t>治理信息档案</w:t>
      </w:r>
      <w:bookmarkEnd w:id="55"/>
      <w:bookmarkEnd w:id="56"/>
      <w:bookmarkEnd w:id="57"/>
    </w:p>
    <w:p>
      <w:pPr>
        <w:spacing w:before="156" w:beforeLines="50"/>
        <w:rPr>
          <w:rFonts w:ascii="宋体" w:hAnsi="宋体" w:eastAsia="宋体"/>
          <w:highlight w:val="none"/>
        </w:rPr>
      </w:pPr>
      <w:r>
        <w:rPr>
          <w:rFonts w:hint="eastAsia" w:ascii="黑体" w:hAnsi="黑体" w:eastAsia="黑体"/>
          <w:highlight w:val="none"/>
        </w:rPr>
        <w:t>5</w:t>
      </w:r>
      <w:r>
        <w:rPr>
          <w:rFonts w:ascii="黑体" w:hAnsi="黑体" w:eastAsia="黑体"/>
          <w:highlight w:val="none"/>
        </w:rPr>
        <w:t xml:space="preserve">.5.1 </w:t>
      </w:r>
      <w:r>
        <w:rPr>
          <w:rFonts w:hint="eastAsia" w:ascii="宋体" w:hAnsi="宋体" w:eastAsia="宋体"/>
          <w:highlight w:val="none"/>
        </w:rPr>
        <w:t>各级电力企业应结合属地实际情况，贯通电力企业与政府网格化管理信息平台，在保障信息数据安全的前提下，提升网格服务对象档案信息准确度。</w:t>
      </w:r>
    </w:p>
    <w:p>
      <w:pPr>
        <w:spacing w:before="156" w:beforeLines="50"/>
        <w:rPr>
          <w:rFonts w:ascii="宋体" w:hAnsi="宋体" w:eastAsia="宋体"/>
          <w:highlight w:val="none"/>
        </w:rPr>
      </w:pPr>
      <w:r>
        <w:rPr>
          <w:rFonts w:hint="eastAsia" w:ascii="黑体" w:hAnsi="黑体" w:eastAsia="黑体"/>
          <w:highlight w:val="none"/>
        </w:rPr>
        <w:t>5</w:t>
      </w:r>
      <w:r>
        <w:rPr>
          <w:rFonts w:ascii="黑体" w:hAnsi="黑体" w:eastAsia="黑体"/>
          <w:highlight w:val="none"/>
        </w:rPr>
        <w:t xml:space="preserve">.5.2 </w:t>
      </w:r>
      <w:r>
        <w:rPr>
          <w:rFonts w:hint="eastAsia" w:ascii="宋体" w:hAnsi="宋体" w:eastAsia="宋体"/>
          <w:highlight w:val="none"/>
        </w:rPr>
        <w:t>强化对服务对象基本信息档案数据的排查治理，降低因服务对象档案数据质量而引发的电力企业网格化服务风险。</w:t>
      </w:r>
    </w:p>
    <w:p>
      <w:pPr>
        <w:pStyle w:val="3"/>
        <w:spacing w:before="156" w:beforeLines="50" w:after="156" w:afterLines="50"/>
        <w:rPr>
          <w:rFonts w:ascii="黑体" w:hAnsi="黑体" w:eastAsia="黑体"/>
          <w:b w:val="0"/>
          <w:bCs w:val="0"/>
          <w:sz w:val="21"/>
          <w:szCs w:val="21"/>
          <w:highlight w:val="none"/>
        </w:rPr>
      </w:pPr>
      <w:bookmarkStart w:id="58" w:name="_Toc132559288"/>
      <w:bookmarkStart w:id="59" w:name="_Toc31100"/>
      <w:bookmarkStart w:id="60" w:name="_Toc24023"/>
      <w:r>
        <w:rPr>
          <w:rFonts w:hint="eastAsia" w:ascii="黑体" w:hAnsi="黑体" w:eastAsia="黑体"/>
          <w:b w:val="0"/>
          <w:bCs w:val="0"/>
          <w:sz w:val="21"/>
          <w:szCs w:val="21"/>
          <w:highlight w:val="none"/>
        </w:rPr>
        <w:t>5</w:t>
      </w:r>
      <w:r>
        <w:rPr>
          <w:rFonts w:ascii="黑体" w:hAnsi="黑体" w:eastAsia="黑体"/>
          <w:b w:val="0"/>
          <w:bCs w:val="0"/>
          <w:sz w:val="21"/>
          <w:szCs w:val="21"/>
          <w:highlight w:val="none"/>
        </w:rPr>
        <w:t xml:space="preserve">.6  </w:t>
      </w:r>
      <w:r>
        <w:rPr>
          <w:rFonts w:hint="eastAsia" w:ascii="黑体" w:hAnsi="黑体" w:eastAsia="黑体"/>
          <w:b w:val="0"/>
          <w:bCs w:val="0"/>
          <w:sz w:val="21"/>
          <w:szCs w:val="21"/>
          <w:highlight w:val="none"/>
        </w:rPr>
        <w:t>治理安全隐患</w:t>
      </w:r>
      <w:bookmarkEnd w:id="58"/>
      <w:bookmarkEnd w:id="59"/>
      <w:bookmarkEnd w:id="60"/>
    </w:p>
    <w:p>
      <w:pPr>
        <w:spacing w:before="156" w:beforeLines="50"/>
        <w:rPr>
          <w:rFonts w:ascii="宋体" w:hAnsi="宋体" w:eastAsia="宋体"/>
          <w:highlight w:val="none"/>
        </w:rPr>
      </w:pPr>
      <w:r>
        <w:rPr>
          <w:rFonts w:hint="eastAsia" w:ascii="黑体" w:hAnsi="黑体" w:eastAsia="黑体"/>
          <w:highlight w:val="none"/>
        </w:rPr>
        <w:t>5</w:t>
      </w:r>
      <w:r>
        <w:rPr>
          <w:rFonts w:ascii="黑体" w:hAnsi="黑体" w:eastAsia="黑体"/>
          <w:highlight w:val="none"/>
        </w:rPr>
        <w:t xml:space="preserve">.6.1 </w:t>
      </w:r>
      <w:r>
        <w:rPr>
          <w:rFonts w:hint="eastAsia" w:ascii="宋体" w:hAnsi="宋体" w:eastAsia="宋体"/>
          <w:highlight w:val="none"/>
        </w:rPr>
        <w:t>各级电力企业应协同政府网格管理部门定期开展涉电安全隐患排查治理工作，推动涉电安全隐患排查治理融入政府网格日常巡视，协同治理安全隐患。</w:t>
      </w:r>
    </w:p>
    <w:p>
      <w:pPr>
        <w:spacing w:before="156" w:beforeLines="50"/>
        <w:rPr>
          <w:rFonts w:ascii="宋体" w:hAnsi="宋体" w:eastAsia="宋体"/>
          <w:highlight w:val="none"/>
        </w:rPr>
      </w:pPr>
      <w:r>
        <w:rPr>
          <w:rFonts w:hint="eastAsia" w:ascii="黑体" w:hAnsi="黑体" w:eastAsia="黑体"/>
          <w:highlight w:val="none"/>
        </w:rPr>
        <w:t>5</w:t>
      </w:r>
      <w:r>
        <w:rPr>
          <w:rFonts w:ascii="黑体" w:hAnsi="黑体" w:eastAsia="黑体"/>
          <w:highlight w:val="none"/>
        </w:rPr>
        <w:t xml:space="preserve">.6.2 </w:t>
      </w:r>
      <w:r>
        <w:rPr>
          <w:rFonts w:hint="eastAsia" w:ascii="宋体" w:hAnsi="宋体" w:eastAsia="宋体"/>
          <w:highlight w:val="none"/>
        </w:rPr>
        <w:t>各级电力企业应定期开展用电安全宣传进社区、进村庄等活动，推动普及供用电安全知识。</w:t>
      </w:r>
    </w:p>
    <w:p>
      <w:pPr>
        <w:pStyle w:val="3"/>
        <w:spacing w:before="156" w:beforeLines="50" w:after="156" w:afterLines="50"/>
        <w:rPr>
          <w:rFonts w:ascii="黑体" w:hAnsi="黑体" w:eastAsia="黑体"/>
          <w:b w:val="0"/>
          <w:bCs w:val="0"/>
          <w:sz w:val="21"/>
          <w:szCs w:val="21"/>
          <w:highlight w:val="none"/>
        </w:rPr>
      </w:pPr>
      <w:bookmarkStart w:id="61" w:name="_Toc2466"/>
      <w:bookmarkStart w:id="62" w:name="_Toc6430"/>
      <w:bookmarkStart w:id="63" w:name="_Toc132559289"/>
      <w:r>
        <w:rPr>
          <w:rFonts w:hint="eastAsia" w:ascii="黑体" w:hAnsi="黑体" w:eastAsia="黑体"/>
          <w:b w:val="0"/>
          <w:bCs w:val="0"/>
          <w:sz w:val="21"/>
          <w:szCs w:val="21"/>
          <w:highlight w:val="none"/>
        </w:rPr>
        <w:t>5.</w:t>
      </w:r>
      <w:r>
        <w:rPr>
          <w:rFonts w:ascii="黑体" w:hAnsi="黑体" w:eastAsia="黑体"/>
          <w:b w:val="0"/>
          <w:bCs w:val="0"/>
          <w:sz w:val="21"/>
          <w:szCs w:val="21"/>
          <w:highlight w:val="none"/>
        </w:rPr>
        <w:t>7</w:t>
      </w:r>
      <w:r>
        <w:rPr>
          <w:rFonts w:hint="eastAsia" w:ascii="黑体" w:hAnsi="黑体" w:eastAsia="黑体"/>
          <w:b w:val="0"/>
          <w:bCs w:val="0"/>
          <w:sz w:val="21"/>
          <w:szCs w:val="21"/>
          <w:highlight w:val="none"/>
        </w:rPr>
        <w:t xml:space="preserve">  开展能效服务</w:t>
      </w:r>
      <w:bookmarkEnd w:id="61"/>
      <w:bookmarkEnd w:id="62"/>
      <w:bookmarkEnd w:id="63"/>
    </w:p>
    <w:p>
      <w:pPr>
        <w:spacing w:before="156" w:beforeLines="50"/>
        <w:rPr>
          <w:rFonts w:ascii="宋体" w:hAnsi="宋体" w:eastAsia="宋体"/>
          <w:highlight w:val="none"/>
        </w:rPr>
      </w:pPr>
      <w:r>
        <w:rPr>
          <w:rFonts w:hint="eastAsia" w:ascii="黑体" w:hAnsi="黑体" w:eastAsia="黑体"/>
          <w:highlight w:val="none"/>
        </w:rPr>
        <w:t>5</w:t>
      </w:r>
      <w:r>
        <w:rPr>
          <w:rFonts w:ascii="黑体" w:hAnsi="黑体" w:eastAsia="黑体"/>
          <w:highlight w:val="none"/>
        </w:rPr>
        <w:t xml:space="preserve">.7.1 </w:t>
      </w:r>
      <w:r>
        <w:rPr>
          <w:rFonts w:hint="eastAsia" w:ascii="宋体" w:hAnsi="宋体" w:eastAsia="宋体"/>
          <w:highlight w:val="none"/>
        </w:rPr>
        <w:t>各级电力企业应加强“双碳”战略的部署与落实，提升能效服务水平，普及“双碳”科学知识和政策，强化节能降碳意识。</w:t>
      </w:r>
    </w:p>
    <w:p>
      <w:pPr>
        <w:spacing w:before="156" w:beforeLines="50"/>
        <w:rPr>
          <w:rFonts w:ascii="宋体" w:hAnsi="宋体" w:eastAsia="宋体"/>
          <w:highlight w:val="none"/>
        </w:rPr>
      </w:pPr>
      <w:r>
        <w:rPr>
          <w:rFonts w:ascii="黑体" w:hAnsi="黑体" w:eastAsia="黑体"/>
          <w:highlight w:val="none"/>
        </w:rPr>
        <w:t xml:space="preserve">5.7.2 </w:t>
      </w:r>
      <w:r>
        <w:rPr>
          <w:rFonts w:hint="eastAsia" w:ascii="宋体" w:hAnsi="宋体" w:eastAsia="宋体"/>
          <w:highlight w:val="none"/>
        </w:rPr>
        <w:t>动员服务对象积极参与节能降碳增效行动，推动电能替代应用，提升节能减排成效，塑造绿色、清洁、节约的社会文化。</w:t>
      </w:r>
    </w:p>
    <w:p>
      <w:pPr>
        <w:pStyle w:val="3"/>
        <w:spacing w:before="156" w:beforeLines="50" w:after="156" w:afterLines="50"/>
        <w:rPr>
          <w:rFonts w:ascii="黑体" w:hAnsi="黑体" w:eastAsia="黑体"/>
          <w:b w:val="0"/>
          <w:bCs w:val="0"/>
          <w:sz w:val="21"/>
          <w:szCs w:val="21"/>
          <w:highlight w:val="none"/>
        </w:rPr>
      </w:pPr>
      <w:bookmarkStart w:id="64" w:name="_Toc17623"/>
      <w:bookmarkStart w:id="65" w:name="_Toc6713"/>
      <w:bookmarkStart w:id="66" w:name="_Toc132559290"/>
      <w:bookmarkStart w:id="67" w:name="_Toc19713"/>
      <w:r>
        <w:rPr>
          <w:rFonts w:hint="eastAsia" w:ascii="黑体" w:hAnsi="黑体" w:eastAsia="黑体"/>
          <w:b w:val="0"/>
          <w:bCs w:val="0"/>
          <w:sz w:val="21"/>
          <w:szCs w:val="21"/>
          <w:highlight w:val="none"/>
        </w:rPr>
        <w:t>5.</w:t>
      </w:r>
      <w:r>
        <w:rPr>
          <w:rFonts w:ascii="黑体" w:hAnsi="黑体" w:eastAsia="黑体"/>
          <w:b w:val="0"/>
          <w:bCs w:val="0"/>
          <w:sz w:val="21"/>
          <w:szCs w:val="21"/>
          <w:highlight w:val="none"/>
        </w:rPr>
        <w:t>8</w:t>
      </w:r>
      <w:r>
        <w:rPr>
          <w:rFonts w:hint="eastAsia" w:ascii="黑体" w:hAnsi="黑体" w:eastAsia="黑体"/>
          <w:b w:val="0"/>
          <w:bCs w:val="0"/>
          <w:sz w:val="21"/>
          <w:szCs w:val="21"/>
          <w:highlight w:val="none"/>
        </w:rPr>
        <w:t xml:space="preserve">  </w:t>
      </w:r>
      <w:bookmarkEnd w:id="64"/>
      <w:r>
        <w:rPr>
          <w:rFonts w:hint="eastAsia" w:ascii="黑体" w:hAnsi="黑体" w:eastAsia="黑体"/>
          <w:b w:val="0"/>
          <w:bCs w:val="0"/>
          <w:sz w:val="21"/>
          <w:szCs w:val="21"/>
          <w:highlight w:val="none"/>
        </w:rPr>
        <w:t>支撑公益服务</w:t>
      </w:r>
      <w:bookmarkEnd w:id="65"/>
      <w:bookmarkEnd w:id="66"/>
      <w:bookmarkEnd w:id="67"/>
    </w:p>
    <w:p>
      <w:pPr>
        <w:spacing w:before="156" w:beforeLines="50"/>
        <w:ind w:firstLine="424" w:firstLineChars="202"/>
        <w:rPr>
          <w:rFonts w:ascii="宋体" w:hAnsi="宋体" w:eastAsia="宋体"/>
          <w:highlight w:val="none"/>
        </w:rPr>
      </w:pPr>
      <w:r>
        <w:rPr>
          <w:rFonts w:hint="eastAsia" w:ascii="宋体" w:hAnsi="宋体" w:eastAsia="宋体"/>
          <w:highlight w:val="none"/>
        </w:rPr>
        <w:t>各级电力企业应协同政府网格建立孤寡老人、五保户、留守儿童等特殊群体台账，组织开展结对帮扶、涉电安全检查、节日慰问、安装暖心夜灯等公益志愿服务。</w:t>
      </w:r>
    </w:p>
    <w:p>
      <w:pPr>
        <w:pStyle w:val="2"/>
        <w:rPr>
          <w:rFonts w:ascii="黑体" w:hAnsi="黑体" w:eastAsia="黑体"/>
          <w:b w:val="0"/>
          <w:bCs w:val="0"/>
          <w:sz w:val="21"/>
          <w:szCs w:val="21"/>
          <w:highlight w:val="none"/>
        </w:rPr>
      </w:pPr>
      <w:bookmarkStart w:id="68" w:name="_Toc27830"/>
      <w:bookmarkStart w:id="69" w:name="_Toc98498901"/>
      <w:bookmarkStart w:id="70" w:name="_Toc132559291"/>
      <w:bookmarkStart w:id="71" w:name="_Toc1043"/>
      <w:bookmarkStart w:id="72" w:name="_Toc1935"/>
      <w:r>
        <w:rPr>
          <w:rFonts w:ascii="黑体" w:hAnsi="黑体" w:eastAsia="黑体"/>
          <w:b w:val="0"/>
          <w:bCs w:val="0"/>
          <w:sz w:val="21"/>
          <w:szCs w:val="21"/>
          <w:highlight w:val="none"/>
        </w:rPr>
        <w:t xml:space="preserve">6 </w:t>
      </w:r>
      <w:r>
        <w:rPr>
          <w:rFonts w:hint="eastAsia" w:ascii="黑体" w:hAnsi="黑体" w:eastAsia="黑体"/>
          <w:b w:val="0"/>
          <w:bCs w:val="0"/>
          <w:sz w:val="21"/>
          <w:szCs w:val="21"/>
          <w:highlight w:val="none"/>
        </w:rPr>
        <w:t xml:space="preserve"> </w:t>
      </w:r>
      <w:bookmarkEnd w:id="68"/>
      <w:bookmarkEnd w:id="69"/>
      <w:r>
        <w:rPr>
          <w:rFonts w:hint="eastAsia" w:ascii="黑体" w:hAnsi="黑体" w:eastAsia="黑体"/>
          <w:b w:val="0"/>
          <w:bCs w:val="0"/>
          <w:sz w:val="21"/>
          <w:szCs w:val="21"/>
          <w:highlight w:val="none"/>
        </w:rPr>
        <w:t>政企网格融合服务规范</w:t>
      </w:r>
      <w:bookmarkEnd w:id="70"/>
      <w:bookmarkEnd w:id="71"/>
      <w:bookmarkEnd w:id="72"/>
    </w:p>
    <w:p>
      <w:pPr>
        <w:pStyle w:val="3"/>
        <w:rPr>
          <w:rFonts w:ascii="黑体" w:hAnsi="黑体" w:eastAsia="黑体"/>
          <w:b w:val="0"/>
          <w:bCs w:val="0"/>
          <w:sz w:val="21"/>
          <w:szCs w:val="21"/>
          <w:highlight w:val="none"/>
        </w:rPr>
      </w:pPr>
      <w:bookmarkStart w:id="73" w:name="_Toc98498904"/>
      <w:bookmarkStart w:id="74" w:name="_Toc15216"/>
      <w:bookmarkStart w:id="75" w:name="_Toc6004"/>
      <w:bookmarkStart w:id="76" w:name="_Toc32531"/>
      <w:bookmarkStart w:id="77" w:name="_Toc132559292"/>
      <w:r>
        <w:rPr>
          <w:rFonts w:ascii="黑体" w:hAnsi="黑体" w:eastAsia="黑体"/>
          <w:b w:val="0"/>
          <w:bCs w:val="0"/>
          <w:sz w:val="21"/>
          <w:szCs w:val="21"/>
          <w:highlight w:val="none"/>
        </w:rPr>
        <w:t xml:space="preserve">6.1 </w:t>
      </w:r>
      <w:r>
        <w:rPr>
          <w:rFonts w:hint="eastAsia" w:ascii="黑体" w:hAnsi="黑体" w:eastAsia="黑体"/>
          <w:b w:val="0"/>
          <w:bCs w:val="0"/>
          <w:sz w:val="21"/>
          <w:szCs w:val="21"/>
          <w:highlight w:val="none"/>
        </w:rPr>
        <w:t xml:space="preserve"> </w:t>
      </w:r>
      <w:bookmarkEnd w:id="73"/>
      <w:bookmarkEnd w:id="74"/>
      <w:r>
        <w:rPr>
          <w:rFonts w:hint="eastAsia" w:ascii="黑体" w:hAnsi="黑体" w:eastAsia="黑体"/>
          <w:b w:val="0"/>
          <w:bCs w:val="0"/>
          <w:sz w:val="21"/>
          <w:szCs w:val="21"/>
          <w:highlight w:val="none"/>
        </w:rPr>
        <w:t>电力企业网格经理、客户经理职业素养</w:t>
      </w:r>
      <w:bookmarkEnd w:id="75"/>
      <w:bookmarkEnd w:id="76"/>
      <w:bookmarkEnd w:id="77"/>
    </w:p>
    <w:p>
      <w:pPr>
        <w:spacing w:before="156" w:beforeLines="50"/>
        <w:rPr>
          <w:rFonts w:ascii="方正仿宋_GBK" w:hAnsi="方正仿宋_GBK" w:eastAsia="方正仿宋_GBK" w:cs="方正仿宋_GBK"/>
          <w:sz w:val="32"/>
          <w:szCs w:val="32"/>
          <w:highlight w:val="none"/>
        </w:rPr>
      </w:pPr>
      <w:r>
        <w:rPr>
          <w:rFonts w:ascii="黑体" w:hAnsi="黑体" w:eastAsia="黑体"/>
          <w:highlight w:val="none"/>
        </w:rPr>
        <w:t>6</w:t>
      </w:r>
      <w:r>
        <w:rPr>
          <w:rFonts w:hint="eastAsia" w:ascii="黑体" w:hAnsi="黑体" w:eastAsia="黑体"/>
          <w:highlight w:val="none"/>
        </w:rPr>
        <w:t xml:space="preserve">.1.1  </w:t>
      </w:r>
      <w:r>
        <w:rPr>
          <w:rFonts w:ascii="宋体" w:hAnsi="宋体" w:eastAsia="宋体"/>
          <w:highlight w:val="none"/>
        </w:rPr>
        <w:t>严格遵守国家法律、法规，诚实守信、恪守承诺</w:t>
      </w:r>
      <w:r>
        <w:rPr>
          <w:rFonts w:hint="eastAsia" w:ascii="宋体" w:hAnsi="宋体" w:eastAsia="宋体"/>
          <w:highlight w:val="none"/>
        </w:rPr>
        <w:t>，</w:t>
      </w:r>
      <w:r>
        <w:rPr>
          <w:rFonts w:ascii="宋体" w:hAnsi="宋体" w:eastAsia="宋体"/>
          <w:highlight w:val="none"/>
        </w:rPr>
        <w:t>爱岗敬业</w:t>
      </w:r>
      <w:r>
        <w:rPr>
          <w:rFonts w:hint="eastAsia" w:ascii="宋体" w:hAnsi="宋体" w:eastAsia="宋体"/>
          <w:highlight w:val="none"/>
        </w:rPr>
        <w:t>、</w:t>
      </w:r>
      <w:r>
        <w:rPr>
          <w:rFonts w:ascii="宋体" w:hAnsi="宋体" w:eastAsia="宋体"/>
          <w:highlight w:val="none"/>
        </w:rPr>
        <w:t>乐于奉献，廉洁自律</w:t>
      </w:r>
      <w:r>
        <w:rPr>
          <w:rFonts w:hint="eastAsia" w:ascii="宋体" w:hAnsi="宋体" w:eastAsia="宋体"/>
          <w:highlight w:val="none"/>
        </w:rPr>
        <w:t>、</w:t>
      </w:r>
      <w:r>
        <w:rPr>
          <w:rFonts w:ascii="宋体" w:hAnsi="宋体" w:eastAsia="宋体"/>
          <w:highlight w:val="none"/>
        </w:rPr>
        <w:t>秉公办事</w:t>
      </w:r>
      <w:r>
        <w:rPr>
          <w:rFonts w:hint="eastAsia" w:ascii="宋体" w:hAnsi="宋体" w:eastAsia="宋体"/>
          <w:highlight w:val="none"/>
        </w:rPr>
        <w:t>。</w:t>
      </w:r>
    </w:p>
    <w:p>
      <w:pPr>
        <w:spacing w:before="156" w:beforeLines="50"/>
        <w:rPr>
          <w:rFonts w:ascii="宋体" w:hAnsi="宋体" w:eastAsia="宋体"/>
          <w:highlight w:val="none"/>
        </w:rPr>
      </w:pPr>
      <w:r>
        <w:rPr>
          <w:rFonts w:ascii="黑体" w:hAnsi="黑体" w:eastAsia="黑体"/>
          <w:highlight w:val="none"/>
        </w:rPr>
        <w:t>6</w:t>
      </w:r>
      <w:r>
        <w:rPr>
          <w:rFonts w:hint="eastAsia" w:ascii="黑体" w:hAnsi="黑体" w:eastAsia="黑体"/>
          <w:highlight w:val="none"/>
        </w:rPr>
        <w:t xml:space="preserve">.1.2  </w:t>
      </w:r>
      <w:r>
        <w:rPr>
          <w:rFonts w:hint="eastAsia" w:ascii="宋体" w:hAnsi="宋体" w:eastAsia="宋体"/>
          <w:highlight w:val="none"/>
        </w:rPr>
        <w:t>严格遵守企业规章制度，严格执行相关工作标准，履行对外服务承诺，维护企业形象。</w:t>
      </w:r>
    </w:p>
    <w:p>
      <w:pPr>
        <w:spacing w:before="156" w:beforeLines="50"/>
        <w:rPr>
          <w:rFonts w:ascii="宋体" w:hAnsi="宋体" w:eastAsia="宋体"/>
          <w:highlight w:val="none"/>
        </w:rPr>
      </w:pPr>
      <w:r>
        <w:rPr>
          <w:rFonts w:ascii="黑体" w:hAnsi="黑体" w:eastAsia="黑体"/>
          <w:highlight w:val="none"/>
        </w:rPr>
        <w:t>6</w:t>
      </w:r>
      <w:r>
        <w:rPr>
          <w:rFonts w:hint="eastAsia" w:ascii="黑体" w:hAnsi="黑体" w:eastAsia="黑体"/>
          <w:highlight w:val="none"/>
        </w:rPr>
        <w:t xml:space="preserve">.1.3  </w:t>
      </w:r>
      <w:r>
        <w:rPr>
          <w:rFonts w:ascii="宋体" w:hAnsi="宋体" w:eastAsia="宋体"/>
          <w:highlight w:val="none"/>
        </w:rPr>
        <w:t>遵守国家的保密原则，尊重客户的保密要求，不</w:t>
      </w:r>
      <w:r>
        <w:rPr>
          <w:rFonts w:hint="eastAsia" w:ascii="宋体" w:hAnsi="宋体" w:eastAsia="宋体"/>
          <w:highlight w:val="none"/>
        </w:rPr>
        <w:t>得对</w:t>
      </w:r>
      <w:r>
        <w:rPr>
          <w:rFonts w:ascii="宋体" w:hAnsi="宋体" w:eastAsia="宋体"/>
          <w:highlight w:val="none"/>
        </w:rPr>
        <w:t>外泄露</w:t>
      </w:r>
      <w:r>
        <w:rPr>
          <w:rFonts w:hint="eastAsia" w:ascii="宋体" w:hAnsi="宋体" w:eastAsia="宋体"/>
          <w:highlight w:val="none"/>
        </w:rPr>
        <w:t>相关信息。</w:t>
      </w:r>
    </w:p>
    <w:p>
      <w:pPr>
        <w:spacing w:before="156" w:beforeLines="50"/>
        <w:rPr>
          <w:rFonts w:ascii="方正仿宋_GBK" w:hAnsi="方正仿宋_GBK" w:eastAsia="方正仿宋_GBK" w:cs="方正仿宋_GBK"/>
          <w:sz w:val="32"/>
          <w:szCs w:val="32"/>
          <w:highlight w:val="none"/>
        </w:rPr>
      </w:pPr>
      <w:r>
        <w:rPr>
          <w:rFonts w:ascii="黑体" w:hAnsi="黑体" w:eastAsia="黑体"/>
          <w:highlight w:val="none"/>
        </w:rPr>
        <w:t>6</w:t>
      </w:r>
      <w:r>
        <w:rPr>
          <w:rFonts w:hint="eastAsia" w:ascii="黑体" w:hAnsi="黑体" w:eastAsia="黑体"/>
          <w:highlight w:val="none"/>
        </w:rPr>
        <w:t xml:space="preserve">.1.4  </w:t>
      </w:r>
      <w:r>
        <w:rPr>
          <w:rFonts w:ascii="宋体" w:hAnsi="宋体" w:eastAsia="宋体"/>
          <w:highlight w:val="none"/>
        </w:rPr>
        <w:t>熟知本岗位的业务知识和相关技能，</w:t>
      </w:r>
      <w:r>
        <w:rPr>
          <w:rFonts w:hint="eastAsia" w:ascii="宋体" w:hAnsi="宋体" w:eastAsia="宋体"/>
          <w:highlight w:val="none"/>
        </w:rPr>
        <w:t>具备合格的</w:t>
      </w:r>
      <w:r>
        <w:rPr>
          <w:rFonts w:ascii="宋体" w:hAnsi="宋体" w:eastAsia="宋体"/>
          <w:highlight w:val="none"/>
        </w:rPr>
        <w:t>岗位</w:t>
      </w:r>
      <w:r>
        <w:rPr>
          <w:rFonts w:hint="eastAsia" w:ascii="宋体" w:hAnsi="宋体" w:eastAsia="宋体"/>
          <w:highlight w:val="none"/>
        </w:rPr>
        <w:t>技能技术水平</w:t>
      </w:r>
      <w:r>
        <w:rPr>
          <w:rFonts w:ascii="宋体" w:hAnsi="宋体" w:eastAsia="宋体"/>
          <w:highlight w:val="none"/>
        </w:rPr>
        <w:t>。</w:t>
      </w:r>
    </w:p>
    <w:p>
      <w:pPr>
        <w:pStyle w:val="3"/>
        <w:rPr>
          <w:rFonts w:ascii="黑体" w:hAnsi="黑体" w:eastAsia="黑体"/>
          <w:b w:val="0"/>
          <w:bCs w:val="0"/>
          <w:sz w:val="21"/>
          <w:szCs w:val="21"/>
          <w:highlight w:val="none"/>
        </w:rPr>
      </w:pPr>
      <w:bookmarkStart w:id="78" w:name="_Toc17114"/>
      <w:bookmarkStart w:id="79" w:name="_Toc24887"/>
      <w:bookmarkStart w:id="80" w:name="_Toc132559293"/>
      <w:bookmarkStart w:id="81" w:name="_Toc17263"/>
      <w:r>
        <w:rPr>
          <w:rFonts w:ascii="黑体" w:hAnsi="黑体" w:eastAsia="黑体"/>
          <w:b w:val="0"/>
          <w:bCs w:val="0"/>
          <w:sz w:val="21"/>
          <w:szCs w:val="21"/>
          <w:highlight w:val="none"/>
        </w:rPr>
        <w:t xml:space="preserve">6.2 </w:t>
      </w:r>
      <w:r>
        <w:rPr>
          <w:rFonts w:hint="eastAsia" w:ascii="黑体" w:hAnsi="黑体" w:eastAsia="黑体"/>
          <w:b w:val="0"/>
          <w:bCs w:val="0"/>
          <w:sz w:val="21"/>
          <w:szCs w:val="21"/>
          <w:highlight w:val="none"/>
        </w:rPr>
        <w:t xml:space="preserve"> 电力企业网格经理、客户经理行为</w:t>
      </w:r>
      <w:bookmarkEnd w:id="78"/>
      <w:r>
        <w:rPr>
          <w:rFonts w:hint="eastAsia" w:ascii="黑体" w:hAnsi="黑体" w:eastAsia="黑体"/>
          <w:b w:val="0"/>
          <w:bCs w:val="0"/>
          <w:sz w:val="21"/>
          <w:szCs w:val="21"/>
          <w:highlight w:val="none"/>
        </w:rPr>
        <w:t>规范</w:t>
      </w:r>
      <w:bookmarkEnd w:id="79"/>
      <w:bookmarkEnd w:id="80"/>
      <w:bookmarkEnd w:id="81"/>
    </w:p>
    <w:p>
      <w:pPr>
        <w:pStyle w:val="34"/>
        <w:numPr>
          <w:ilvl w:val="255"/>
          <w:numId w:val="0"/>
        </w:numPr>
        <w:adjustRightInd w:val="0"/>
        <w:snapToGrid w:val="0"/>
        <w:rPr>
          <w:rFonts w:ascii="方正仿宋_GBK" w:hAnsi="方正仿宋_GBK" w:eastAsia="方正仿宋_GBK" w:cs="方正仿宋_GBK"/>
          <w:sz w:val="32"/>
          <w:szCs w:val="32"/>
          <w:highlight w:val="none"/>
        </w:rPr>
      </w:pPr>
      <w:r>
        <w:rPr>
          <w:rFonts w:ascii="黑体" w:hAnsi="黑体" w:eastAsia="黑体"/>
          <w:highlight w:val="none"/>
        </w:rPr>
        <w:t>6</w:t>
      </w:r>
      <w:r>
        <w:rPr>
          <w:rFonts w:hint="eastAsia" w:ascii="黑体" w:hAnsi="黑体" w:eastAsia="黑体"/>
          <w:highlight w:val="none"/>
        </w:rPr>
        <w:t>.2.1</w:t>
      </w:r>
      <w:r>
        <w:rPr>
          <w:rFonts w:ascii="黑体" w:hAnsi="黑体" w:eastAsia="黑体"/>
          <w:highlight w:val="none"/>
        </w:rPr>
        <w:t xml:space="preserve">  </w:t>
      </w:r>
      <w:r>
        <w:rPr>
          <w:rFonts w:hint="eastAsia" w:ascii="宋体" w:hAnsi="宋体" w:cstheme="minorBidi"/>
          <w:highlight w:val="none"/>
        </w:rPr>
        <w:t>保持仪容仪表整洁。注重日常仪容仪表管理，遵守企业仪容仪表管理规范，体现电力企业工作人员的精神风貌。</w:t>
      </w:r>
    </w:p>
    <w:p>
      <w:pPr>
        <w:spacing w:before="156" w:beforeLines="50"/>
        <w:rPr>
          <w:rFonts w:ascii="宋体" w:hAnsi="宋体" w:eastAsia="宋体"/>
          <w:highlight w:val="none"/>
        </w:rPr>
      </w:pPr>
      <w:r>
        <w:rPr>
          <w:rFonts w:ascii="黑体" w:hAnsi="黑体" w:eastAsia="黑体"/>
          <w:highlight w:val="none"/>
        </w:rPr>
        <w:t>6</w:t>
      </w:r>
      <w:r>
        <w:rPr>
          <w:rFonts w:hint="eastAsia" w:ascii="黑体" w:hAnsi="黑体" w:eastAsia="黑体"/>
          <w:highlight w:val="none"/>
        </w:rPr>
        <w:t xml:space="preserve">.2.2  </w:t>
      </w:r>
      <w:r>
        <w:rPr>
          <w:rFonts w:hint="eastAsia" w:ascii="宋体" w:hAnsi="宋体" w:eastAsia="宋体"/>
          <w:highlight w:val="none"/>
        </w:rPr>
        <w:t>落实着装佩戴规范。严格遵守办公场所、服务场所、抢修现场着装规范，共产党员、党员服务队应佩戴党徽。</w:t>
      </w:r>
    </w:p>
    <w:p>
      <w:pPr>
        <w:spacing w:before="156" w:beforeLines="50"/>
        <w:rPr>
          <w:rFonts w:ascii="宋体" w:hAnsi="宋体" w:eastAsia="宋体"/>
          <w:highlight w:val="none"/>
        </w:rPr>
      </w:pPr>
      <w:r>
        <w:rPr>
          <w:rFonts w:ascii="黑体" w:hAnsi="黑体" w:eastAsia="黑体"/>
          <w:highlight w:val="none"/>
        </w:rPr>
        <w:t>6</w:t>
      </w:r>
      <w:r>
        <w:rPr>
          <w:rFonts w:hint="eastAsia" w:ascii="黑体" w:hAnsi="黑体" w:eastAsia="黑体"/>
          <w:highlight w:val="none"/>
        </w:rPr>
        <w:t xml:space="preserve">.2.3  </w:t>
      </w:r>
      <w:r>
        <w:rPr>
          <w:rFonts w:hint="eastAsia" w:ascii="宋体" w:hAnsi="宋体" w:eastAsia="宋体"/>
          <w:highlight w:val="none"/>
        </w:rPr>
        <w:t>遵守文明礼貌要求。服务过程中提倡使用普通话，使用“您好、请、对不起、谢谢、再见”等文明用语，遵守办公、服务等场所行为规范要求。</w:t>
      </w:r>
    </w:p>
    <w:p>
      <w:pPr>
        <w:spacing w:before="156" w:beforeLines="50"/>
        <w:rPr>
          <w:rFonts w:ascii="宋体" w:hAnsi="宋体" w:eastAsia="宋体"/>
          <w:highlight w:val="none"/>
        </w:rPr>
      </w:pPr>
      <w:r>
        <w:rPr>
          <w:rFonts w:ascii="黑体" w:hAnsi="黑体" w:eastAsia="黑体"/>
          <w:highlight w:val="none"/>
        </w:rPr>
        <w:t>6</w:t>
      </w:r>
      <w:r>
        <w:rPr>
          <w:rFonts w:hint="eastAsia" w:ascii="黑体" w:hAnsi="黑体" w:eastAsia="黑体"/>
          <w:highlight w:val="none"/>
        </w:rPr>
        <w:t xml:space="preserve">.2.4  </w:t>
      </w:r>
      <w:r>
        <w:rPr>
          <w:rFonts w:hint="eastAsia" w:ascii="宋体" w:hAnsi="宋体" w:eastAsia="宋体"/>
          <w:highlight w:val="none"/>
        </w:rPr>
        <w:t>快速响应群众诉求。实行“首问/首到责任制”，按照要求时限响应客户诉求、办理涉电业务，遵守“一次性告知”工作要求，不出现推诿、搪塞等行为。</w:t>
      </w:r>
    </w:p>
    <w:p>
      <w:pPr>
        <w:spacing w:before="156" w:beforeLines="50"/>
        <w:rPr>
          <w:rFonts w:ascii="宋体" w:hAnsi="宋体" w:eastAsia="宋体"/>
          <w:highlight w:val="none"/>
        </w:rPr>
      </w:pPr>
      <w:r>
        <w:rPr>
          <w:rFonts w:ascii="黑体" w:hAnsi="黑体" w:eastAsia="黑体"/>
          <w:highlight w:val="none"/>
        </w:rPr>
        <w:t>6</w:t>
      </w:r>
      <w:r>
        <w:rPr>
          <w:rFonts w:hint="eastAsia" w:ascii="黑体" w:hAnsi="黑体" w:eastAsia="黑体"/>
          <w:highlight w:val="none"/>
        </w:rPr>
        <w:t xml:space="preserve">.2.5 </w:t>
      </w:r>
      <w:r>
        <w:rPr>
          <w:rFonts w:ascii="黑体" w:hAnsi="黑体" w:eastAsia="黑体"/>
          <w:highlight w:val="none"/>
        </w:rPr>
        <w:t xml:space="preserve"> </w:t>
      </w:r>
      <w:r>
        <w:rPr>
          <w:rFonts w:hint="eastAsia" w:ascii="宋体" w:hAnsi="宋体" w:eastAsia="宋体"/>
          <w:highlight w:val="none"/>
        </w:rPr>
        <w:t>高效解决涉电问题。处理涉电问题时应做到准确、高效，按照企业管理要求进行处置，落实“内转外不转”“办事不出网格”等工作要求，不出现主观责任差错。</w:t>
      </w:r>
    </w:p>
    <w:p>
      <w:pPr>
        <w:spacing w:before="156" w:beforeLines="50"/>
        <w:rPr>
          <w:rFonts w:ascii="宋体" w:hAnsi="宋体" w:eastAsia="宋体"/>
          <w:highlight w:val="none"/>
        </w:rPr>
      </w:pPr>
      <w:r>
        <w:rPr>
          <w:rFonts w:ascii="黑体" w:hAnsi="黑体" w:eastAsia="黑体"/>
          <w:highlight w:val="none"/>
        </w:rPr>
        <w:t xml:space="preserve">6.2.6  </w:t>
      </w:r>
      <w:r>
        <w:rPr>
          <w:rFonts w:hint="eastAsia" w:ascii="宋体" w:hAnsi="宋体" w:eastAsia="宋体"/>
          <w:highlight w:val="none"/>
        </w:rPr>
        <w:t>及时反馈工作信息。处理涉电诉求或办理涉电业务过程中，应按照企业管理要求反馈进度、结果等信息，确保信息准确、及时传达。</w:t>
      </w:r>
    </w:p>
    <w:p>
      <w:pPr>
        <w:pStyle w:val="3"/>
        <w:rPr>
          <w:rFonts w:ascii="黑体" w:hAnsi="黑体" w:eastAsia="黑体"/>
          <w:b w:val="0"/>
          <w:bCs w:val="0"/>
          <w:sz w:val="21"/>
          <w:szCs w:val="21"/>
          <w:highlight w:val="none"/>
        </w:rPr>
      </w:pPr>
      <w:bookmarkStart w:id="82" w:name="_Toc21587"/>
      <w:bookmarkStart w:id="83" w:name="_Toc21546"/>
      <w:bookmarkStart w:id="84" w:name="_Toc132559294"/>
      <w:r>
        <w:rPr>
          <w:rFonts w:ascii="黑体" w:hAnsi="黑体" w:eastAsia="黑体"/>
          <w:b w:val="0"/>
          <w:bCs w:val="0"/>
          <w:sz w:val="21"/>
          <w:szCs w:val="21"/>
          <w:highlight w:val="none"/>
        </w:rPr>
        <w:t xml:space="preserve">6.3 </w:t>
      </w:r>
      <w:r>
        <w:rPr>
          <w:rFonts w:hint="eastAsia" w:ascii="黑体" w:hAnsi="黑体" w:eastAsia="黑体"/>
          <w:b w:val="0"/>
          <w:bCs w:val="0"/>
          <w:sz w:val="21"/>
          <w:szCs w:val="21"/>
          <w:highlight w:val="none"/>
        </w:rPr>
        <w:t xml:space="preserve"> 电力企业网格经理、客户经理现场服务规范</w:t>
      </w:r>
      <w:bookmarkEnd w:id="82"/>
      <w:bookmarkEnd w:id="83"/>
      <w:bookmarkEnd w:id="84"/>
    </w:p>
    <w:p>
      <w:pPr>
        <w:pStyle w:val="34"/>
        <w:numPr>
          <w:ilvl w:val="255"/>
          <w:numId w:val="0"/>
        </w:numPr>
        <w:adjustRightInd w:val="0"/>
        <w:snapToGrid w:val="0"/>
        <w:rPr>
          <w:rFonts w:ascii="方正仿宋_GBK" w:hAnsi="方正仿宋_GBK" w:eastAsia="方正仿宋_GBK" w:cs="方正仿宋_GBK"/>
          <w:sz w:val="32"/>
          <w:szCs w:val="32"/>
          <w:highlight w:val="none"/>
        </w:rPr>
      </w:pPr>
      <w:r>
        <w:rPr>
          <w:rFonts w:ascii="黑体" w:hAnsi="黑体" w:eastAsia="黑体"/>
          <w:highlight w:val="none"/>
        </w:rPr>
        <w:t>6</w:t>
      </w:r>
      <w:r>
        <w:rPr>
          <w:rFonts w:hint="eastAsia" w:ascii="黑体" w:hAnsi="黑体" w:eastAsia="黑体"/>
          <w:highlight w:val="none"/>
        </w:rPr>
        <w:t>.</w:t>
      </w:r>
      <w:r>
        <w:rPr>
          <w:rFonts w:ascii="黑体" w:hAnsi="黑体" w:eastAsia="黑体"/>
          <w:highlight w:val="none"/>
        </w:rPr>
        <w:t>3</w:t>
      </w:r>
      <w:r>
        <w:rPr>
          <w:rFonts w:hint="eastAsia" w:ascii="黑体" w:hAnsi="黑体" w:eastAsia="黑体"/>
          <w:highlight w:val="none"/>
        </w:rPr>
        <w:t>.1</w:t>
      </w:r>
      <w:r>
        <w:rPr>
          <w:rFonts w:ascii="黑体" w:hAnsi="黑体" w:eastAsia="黑体"/>
          <w:highlight w:val="none"/>
        </w:rPr>
        <w:t xml:space="preserve"> </w:t>
      </w:r>
      <w:r>
        <w:rPr>
          <w:rFonts w:hint="eastAsia" w:ascii="宋体" w:hAnsi="宋体"/>
          <w:highlight w:val="none"/>
        </w:rPr>
        <w:t xml:space="preserve"> 各级电力企业在开展入户走访、政策宣传、用电检查等工作时，应遵守相应管理要求，提前做好预约，遵守政府部门、网格、公共场所等管理要求，尊重当地民风习俗</w:t>
      </w:r>
      <w:r>
        <w:rPr>
          <w:rFonts w:hint="eastAsia" w:ascii="宋体" w:hAnsi="宋体" w:cstheme="minorBidi"/>
          <w:highlight w:val="none"/>
        </w:rPr>
        <w:t>。</w:t>
      </w:r>
    </w:p>
    <w:p>
      <w:pPr>
        <w:spacing w:before="156" w:beforeLines="50"/>
        <w:rPr>
          <w:rFonts w:ascii="宋体" w:hAnsi="宋体" w:eastAsia="宋体"/>
          <w:highlight w:val="none"/>
        </w:rPr>
      </w:pPr>
      <w:r>
        <w:rPr>
          <w:rFonts w:ascii="黑体" w:hAnsi="黑体" w:eastAsia="黑体"/>
          <w:highlight w:val="none"/>
        </w:rPr>
        <w:t>6</w:t>
      </w:r>
      <w:r>
        <w:rPr>
          <w:rFonts w:hint="eastAsia" w:ascii="黑体" w:hAnsi="黑体" w:eastAsia="黑体"/>
          <w:highlight w:val="none"/>
        </w:rPr>
        <w:t>.</w:t>
      </w:r>
      <w:r>
        <w:rPr>
          <w:rFonts w:ascii="黑体" w:hAnsi="黑体" w:eastAsia="黑体"/>
          <w:highlight w:val="none"/>
        </w:rPr>
        <w:t>3</w:t>
      </w:r>
      <w:r>
        <w:rPr>
          <w:rFonts w:hint="eastAsia" w:ascii="黑体" w:hAnsi="黑体" w:eastAsia="黑体"/>
          <w:highlight w:val="none"/>
        </w:rPr>
        <w:t xml:space="preserve">.2  </w:t>
      </w:r>
      <w:r>
        <w:rPr>
          <w:rFonts w:hint="eastAsia" w:ascii="宋体" w:hAnsi="宋体" w:eastAsia="宋体"/>
          <w:highlight w:val="none"/>
        </w:rPr>
        <w:t>各级电力企业在开展现场抢修时，应遵守相应现场管理要求，按照规范落实各项安全管理措施。</w:t>
      </w:r>
    </w:p>
    <w:p>
      <w:pPr>
        <w:spacing w:before="156" w:beforeLines="50"/>
        <w:rPr>
          <w:rFonts w:ascii="宋体" w:hAnsi="宋体" w:eastAsia="宋体"/>
          <w:highlight w:val="none"/>
        </w:rPr>
      </w:pPr>
      <w:r>
        <w:rPr>
          <w:rFonts w:ascii="黑体" w:hAnsi="黑体" w:eastAsia="黑体"/>
          <w:highlight w:val="none"/>
        </w:rPr>
        <w:t>6</w:t>
      </w:r>
      <w:r>
        <w:rPr>
          <w:rFonts w:hint="eastAsia" w:ascii="黑体" w:hAnsi="黑体" w:eastAsia="黑体"/>
          <w:highlight w:val="none"/>
        </w:rPr>
        <w:t>.</w:t>
      </w:r>
      <w:r>
        <w:rPr>
          <w:rFonts w:ascii="黑体" w:hAnsi="黑体" w:eastAsia="黑体"/>
          <w:highlight w:val="none"/>
        </w:rPr>
        <w:t>3</w:t>
      </w:r>
      <w:r>
        <w:rPr>
          <w:rFonts w:hint="eastAsia" w:ascii="黑体" w:hAnsi="黑体" w:eastAsia="黑体"/>
          <w:highlight w:val="none"/>
        </w:rPr>
        <w:t xml:space="preserve">.3  </w:t>
      </w:r>
      <w:r>
        <w:rPr>
          <w:rFonts w:hint="eastAsia" w:ascii="宋体" w:hAnsi="宋体" w:eastAsia="宋体"/>
          <w:highlight w:val="none"/>
        </w:rPr>
        <w:t>各级电力企业在开展入驻服务时，应在对外公示驻点服务内容、时间、入驻服务人员信息等内容，入驻服务时应遵守各级电力企业的管理要求与入驻点管理要求。</w:t>
      </w:r>
    </w:p>
    <w:p>
      <w:pPr>
        <w:spacing w:before="156" w:beforeLines="50"/>
        <w:rPr>
          <w:rFonts w:ascii="宋体" w:hAnsi="宋体" w:eastAsia="宋体"/>
          <w:highlight w:val="none"/>
        </w:rPr>
      </w:pPr>
      <w:r>
        <w:rPr>
          <w:rFonts w:ascii="黑体" w:hAnsi="黑体" w:eastAsia="黑体"/>
          <w:highlight w:val="none"/>
        </w:rPr>
        <w:t>6</w:t>
      </w:r>
      <w:r>
        <w:rPr>
          <w:rFonts w:hint="eastAsia" w:ascii="黑体" w:hAnsi="黑体" w:eastAsia="黑体"/>
          <w:highlight w:val="none"/>
        </w:rPr>
        <w:t>.</w:t>
      </w:r>
      <w:r>
        <w:rPr>
          <w:rFonts w:ascii="黑体" w:hAnsi="黑体" w:eastAsia="黑体"/>
          <w:highlight w:val="none"/>
        </w:rPr>
        <w:t>3</w:t>
      </w:r>
      <w:r>
        <w:rPr>
          <w:rFonts w:hint="eastAsia" w:ascii="黑体" w:hAnsi="黑体" w:eastAsia="黑体"/>
          <w:highlight w:val="none"/>
        </w:rPr>
        <w:t xml:space="preserve">.4  </w:t>
      </w:r>
      <w:r>
        <w:rPr>
          <w:rFonts w:hint="eastAsia" w:ascii="宋体" w:hAnsi="宋体" w:eastAsia="宋体"/>
          <w:highlight w:val="none"/>
        </w:rPr>
        <w:t>各级电力企业在开展设点宣传时，应提前做好设点宣传手续审批，做好相应准备工作，规范着装，保持现场整洁，完成时应进行现场清理。</w:t>
      </w:r>
    </w:p>
    <w:p>
      <w:pPr>
        <w:pStyle w:val="3"/>
        <w:rPr>
          <w:rFonts w:ascii="黑体" w:hAnsi="黑体" w:eastAsia="黑体"/>
          <w:b w:val="0"/>
          <w:bCs w:val="0"/>
          <w:sz w:val="21"/>
          <w:szCs w:val="21"/>
          <w:highlight w:val="none"/>
        </w:rPr>
      </w:pPr>
      <w:bookmarkStart w:id="85" w:name="_Toc14026"/>
      <w:bookmarkStart w:id="86" w:name="_Toc11184"/>
      <w:bookmarkStart w:id="87" w:name="_Toc132559295"/>
      <w:r>
        <w:rPr>
          <w:rFonts w:ascii="黑体" w:hAnsi="黑体" w:eastAsia="黑体"/>
          <w:b w:val="0"/>
          <w:bCs w:val="0"/>
          <w:sz w:val="21"/>
          <w:szCs w:val="21"/>
          <w:highlight w:val="none"/>
        </w:rPr>
        <w:t xml:space="preserve">6.4 </w:t>
      </w:r>
      <w:r>
        <w:rPr>
          <w:rFonts w:hint="eastAsia" w:ascii="黑体" w:hAnsi="黑体" w:eastAsia="黑体"/>
          <w:b w:val="0"/>
          <w:bCs w:val="0"/>
          <w:sz w:val="21"/>
          <w:szCs w:val="21"/>
          <w:highlight w:val="none"/>
        </w:rPr>
        <w:t xml:space="preserve"> 电力企业网格经理、客户经理远程服务规范</w:t>
      </w:r>
      <w:bookmarkEnd w:id="85"/>
      <w:bookmarkEnd w:id="86"/>
      <w:bookmarkEnd w:id="87"/>
    </w:p>
    <w:p>
      <w:pPr>
        <w:pStyle w:val="34"/>
        <w:numPr>
          <w:ilvl w:val="255"/>
          <w:numId w:val="0"/>
        </w:numPr>
        <w:adjustRightInd w:val="0"/>
        <w:snapToGrid w:val="0"/>
        <w:rPr>
          <w:rFonts w:ascii="方正仿宋_GBK" w:hAnsi="方正仿宋_GBK" w:eastAsia="方正仿宋_GBK" w:cs="方正仿宋_GBK"/>
          <w:sz w:val="32"/>
          <w:szCs w:val="32"/>
          <w:highlight w:val="none"/>
        </w:rPr>
      </w:pPr>
      <w:r>
        <w:rPr>
          <w:rFonts w:ascii="黑体" w:hAnsi="黑体" w:eastAsia="黑体"/>
          <w:highlight w:val="none"/>
        </w:rPr>
        <w:t>6</w:t>
      </w:r>
      <w:r>
        <w:rPr>
          <w:rFonts w:hint="eastAsia" w:ascii="黑体" w:hAnsi="黑体" w:eastAsia="黑体"/>
          <w:highlight w:val="none"/>
        </w:rPr>
        <w:t>.</w:t>
      </w:r>
      <w:r>
        <w:rPr>
          <w:rFonts w:ascii="黑体" w:hAnsi="黑体" w:eastAsia="黑体"/>
          <w:highlight w:val="none"/>
        </w:rPr>
        <w:t>4</w:t>
      </w:r>
      <w:r>
        <w:rPr>
          <w:rFonts w:hint="eastAsia" w:ascii="黑体" w:hAnsi="黑体" w:eastAsia="黑体"/>
          <w:highlight w:val="none"/>
        </w:rPr>
        <w:t>.1</w:t>
      </w:r>
      <w:r>
        <w:rPr>
          <w:rFonts w:ascii="黑体" w:hAnsi="黑体" w:eastAsia="黑体"/>
          <w:highlight w:val="none"/>
        </w:rPr>
        <w:t xml:space="preserve"> </w:t>
      </w:r>
      <w:r>
        <w:rPr>
          <w:rFonts w:hint="eastAsia" w:ascii="宋体" w:hAnsi="宋体"/>
          <w:highlight w:val="none"/>
        </w:rPr>
        <w:t xml:space="preserve"> </w:t>
      </w:r>
      <w:r>
        <w:rPr>
          <w:rFonts w:hint="eastAsia" w:ascii="宋体" w:hAnsi="宋体" w:cstheme="minorBidi"/>
          <w:highlight w:val="none"/>
        </w:rPr>
        <w:t>各级电力企业应开通远程电话服务或客户服务热线，对外公示服务、监督电话号码，保持电话畅通，配备相应工作人员，遵守电话服务相关规范。</w:t>
      </w:r>
    </w:p>
    <w:p>
      <w:pPr>
        <w:spacing w:before="156" w:beforeLines="50"/>
        <w:rPr>
          <w:rFonts w:ascii="宋体" w:hAnsi="宋体" w:eastAsia="宋体"/>
          <w:highlight w:val="none"/>
        </w:rPr>
      </w:pPr>
      <w:r>
        <w:rPr>
          <w:rFonts w:ascii="黑体" w:hAnsi="黑体" w:eastAsia="黑体"/>
          <w:highlight w:val="none"/>
        </w:rPr>
        <w:t>6</w:t>
      </w:r>
      <w:r>
        <w:rPr>
          <w:rFonts w:hint="eastAsia" w:ascii="黑体" w:hAnsi="黑体" w:eastAsia="黑体"/>
          <w:highlight w:val="none"/>
        </w:rPr>
        <w:t>.</w:t>
      </w:r>
      <w:r>
        <w:rPr>
          <w:rFonts w:ascii="黑体" w:hAnsi="黑体" w:eastAsia="黑体"/>
          <w:highlight w:val="none"/>
        </w:rPr>
        <w:t>4</w:t>
      </w:r>
      <w:r>
        <w:rPr>
          <w:rFonts w:hint="eastAsia" w:ascii="黑体" w:hAnsi="黑体" w:eastAsia="黑体"/>
          <w:highlight w:val="none"/>
        </w:rPr>
        <w:t xml:space="preserve">.2  </w:t>
      </w:r>
      <w:r>
        <w:rPr>
          <w:rFonts w:hint="eastAsia" w:ascii="宋体" w:hAnsi="宋体" w:eastAsia="宋体"/>
          <w:highlight w:val="none"/>
        </w:rPr>
        <w:t>各级电力企业根据实际情况开展微信等网络在线服务，组建或加入服务对象网络群，遵守网络社交平台管理规定，定期开展网络平台信息推送，不转发、传播不当言论，不泄露、公开服务对象信息、涉密文件。</w:t>
      </w:r>
    </w:p>
    <w:p>
      <w:pPr>
        <w:pStyle w:val="2"/>
        <w:rPr>
          <w:rFonts w:ascii="黑体" w:hAnsi="黑体" w:eastAsia="黑体"/>
          <w:b w:val="0"/>
          <w:bCs w:val="0"/>
          <w:sz w:val="21"/>
          <w:szCs w:val="21"/>
          <w:highlight w:val="none"/>
        </w:rPr>
      </w:pPr>
      <w:bookmarkStart w:id="88" w:name="_Toc29229"/>
      <w:bookmarkStart w:id="89" w:name="_Toc98498908"/>
      <w:bookmarkStart w:id="90" w:name="_Toc23474"/>
      <w:bookmarkStart w:id="91" w:name="_Toc132559296"/>
      <w:bookmarkStart w:id="92" w:name="_Toc6131"/>
      <w:r>
        <w:rPr>
          <w:rFonts w:ascii="黑体" w:hAnsi="黑体" w:eastAsia="黑体"/>
          <w:b w:val="0"/>
          <w:bCs w:val="0"/>
          <w:sz w:val="21"/>
          <w:szCs w:val="21"/>
          <w:highlight w:val="none"/>
        </w:rPr>
        <w:t>7</w:t>
      </w:r>
      <w:r>
        <w:rPr>
          <w:rFonts w:hint="eastAsia" w:ascii="黑体" w:hAnsi="黑体" w:eastAsia="黑体"/>
          <w:b w:val="0"/>
          <w:bCs w:val="0"/>
          <w:sz w:val="21"/>
          <w:szCs w:val="21"/>
          <w:highlight w:val="none"/>
        </w:rPr>
        <w:t xml:space="preserve">  </w:t>
      </w:r>
      <w:bookmarkEnd w:id="88"/>
      <w:bookmarkEnd w:id="89"/>
      <w:r>
        <w:rPr>
          <w:rFonts w:hint="eastAsia" w:ascii="黑体" w:hAnsi="黑体" w:eastAsia="黑体"/>
          <w:b w:val="0"/>
          <w:bCs w:val="0"/>
          <w:sz w:val="21"/>
          <w:szCs w:val="21"/>
          <w:highlight w:val="none"/>
        </w:rPr>
        <w:t>政企网格融合服务管理</w:t>
      </w:r>
      <w:bookmarkEnd w:id="90"/>
      <w:bookmarkEnd w:id="91"/>
      <w:bookmarkEnd w:id="92"/>
    </w:p>
    <w:p>
      <w:pPr>
        <w:pStyle w:val="3"/>
        <w:rPr>
          <w:rFonts w:ascii="黑体" w:hAnsi="黑体" w:eastAsia="黑体"/>
          <w:b w:val="0"/>
          <w:bCs w:val="0"/>
          <w:sz w:val="21"/>
          <w:szCs w:val="21"/>
          <w:highlight w:val="none"/>
        </w:rPr>
      </w:pPr>
      <w:bookmarkStart w:id="93" w:name="_Toc98498909"/>
      <w:bookmarkStart w:id="94" w:name="_Toc20720"/>
      <w:bookmarkStart w:id="95" w:name="_Toc132559297"/>
      <w:bookmarkStart w:id="96" w:name="_Toc26384"/>
      <w:bookmarkStart w:id="97" w:name="_Toc27852"/>
      <w:r>
        <w:rPr>
          <w:rFonts w:ascii="黑体" w:hAnsi="黑体" w:eastAsia="黑体"/>
          <w:b w:val="0"/>
          <w:bCs w:val="0"/>
          <w:sz w:val="21"/>
          <w:szCs w:val="21"/>
          <w:highlight w:val="none"/>
        </w:rPr>
        <w:t>7</w:t>
      </w:r>
      <w:r>
        <w:rPr>
          <w:rFonts w:hint="eastAsia" w:ascii="黑体" w:hAnsi="黑体" w:eastAsia="黑体"/>
          <w:b w:val="0"/>
          <w:bCs w:val="0"/>
          <w:sz w:val="21"/>
          <w:szCs w:val="21"/>
          <w:highlight w:val="none"/>
        </w:rPr>
        <w:t>.</w:t>
      </w:r>
      <w:r>
        <w:rPr>
          <w:rFonts w:ascii="黑体" w:hAnsi="黑体" w:eastAsia="黑体"/>
          <w:b w:val="0"/>
          <w:bCs w:val="0"/>
          <w:sz w:val="21"/>
          <w:szCs w:val="21"/>
          <w:highlight w:val="none"/>
        </w:rPr>
        <w:t>1</w:t>
      </w:r>
      <w:r>
        <w:rPr>
          <w:rFonts w:hint="eastAsia" w:ascii="黑体" w:hAnsi="黑体" w:eastAsia="黑体"/>
          <w:b w:val="0"/>
          <w:bCs w:val="0"/>
          <w:sz w:val="21"/>
          <w:szCs w:val="21"/>
          <w:highlight w:val="none"/>
        </w:rPr>
        <w:t xml:space="preserve">  </w:t>
      </w:r>
      <w:bookmarkEnd w:id="93"/>
      <w:bookmarkEnd w:id="94"/>
      <w:r>
        <w:rPr>
          <w:rFonts w:hint="eastAsia" w:ascii="黑体" w:hAnsi="黑体" w:eastAsia="黑体"/>
          <w:b w:val="0"/>
          <w:bCs w:val="0"/>
          <w:sz w:val="21"/>
          <w:szCs w:val="21"/>
          <w:highlight w:val="none"/>
        </w:rPr>
        <w:t>组织建设与职责分工</w:t>
      </w:r>
      <w:bookmarkEnd w:id="95"/>
      <w:bookmarkEnd w:id="96"/>
      <w:bookmarkEnd w:id="97"/>
    </w:p>
    <w:p>
      <w:pPr>
        <w:spacing w:before="156" w:beforeLines="50"/>
        <w:ind w:firstLine="424" w:firstLineChars="202"/>
        <w:rPr>
          <w:rFonts w:ascii="宋体" w:hAnsi="宋体" w:eastAsia="宋体"/>
          <w:szCs w:val="21"/>
          <w:highlight w:val="none"/>
        </w:rPr>
      </w:pPr>
      <w:r>
        <w:rPr>
          <w:rFonts w:hint="eastAsia" w:ascii="宋体" w:hAnsi="宋体" w:eastAsia="宋体"/>
          <w:szCs w:val="21"/>
          <w:highlight w:val="none"/>
        </w:rPr>
        <w:t>各级电力企业应建立健全组织职能保障体系，成立政企网格融合服务组织，明确各项工作职能、分工协作界面，配备工作人员推动政企网格融合服务工作，做好各项资源统筹协调</w:t>
      </w:r>
      <w:r>
        <w:rPr>
          <w:rFonts w:ascii="宋体" w:hAnsi="宋体" w:eastAsia="宋体"/>
          <w:szCs w:val="21"/>
          <w:highlight w:val="none"/>
        </w:rPr>
        <w:t>。</w:t>
      </w:r>
    </w:p>
    <w:p>
      <w:pPr>
        <w:pStyle w:val="3"/>
        <w:rPr>
          <w:rFonts w:ascii="黑体" w:hAnsi="黑体" w:eastAsia="黑体"/>
          <w:b w:val="0"/>
          <w:bCs w:val="0"/>
          <w:sz w:val="21"/>
          <w:szCs w:val="21"/>
          <w:highlight w:val="none"/>
        </w:rPr>
      </w:pPr>
      <w:bookmarkStart w:id="98" w:name="_Toc98498910"/>
      <w:bookmarkStart w:id="99" w:name="_Toc30238"/>
      <w:bookmarkStart w:id="100" w:name="_Toc19402"/>
      <w:bookmarkStart w:id="101" w:name="_Toc14559"/>
      <w:bookmarkStart w:id="102" w:name="_Toc132559298"/>
      <w:r>
        <w:rPr>
          <w:rFonts w:ascii="黑体" w:hAnsi="黑体" w:eastAsia="黑体"/>
          <w:b w:val="0"/>
          <w:bCs w:val="0"/>
          <w:sz w:val="21"/>
          <w:szCs w:val="21"/>
          <w:highlight w:val="none"/>
        </w:rPr>
        <w:t>7</w:t>
      </w:r>
      <w:r>
        <w:rPr>
          <w:rFonts w:hint="eastAsia" w:ascii="黑体" w:hAnsi="黑体" w:eastAsia="黑体"/>
          <w:b w:val="0"/>
          <w:bCs w:val="0"/>
          <w:sz w:val="21"/>
          <w:szCs w:val="21"/>
          <w:highlight w:val="none"/>
        </w:rPr>
        <w:t>.</w:t>
      </w:r>
      <w:r>
        <w:rPr>
          <w:rFonts w:ascii="黑体" w:hAnsi="黑体" w:eastAsia="黑体"/>
          <w:b w:val="0"/>
          <w:bCs w:val="0"/>
          <w:sz w:val="21"/>
          <w:szCs w:val="21"/>
          <w:highlight w:val="none"/>
        </w:rPr>
        <w:t>2</w:t>
      </w:r>
      <w:r>
        <w:rPr>
          <w:rFonts w:hint="eastAsia" w:ascii="黑体" w:hAnsi="黑体" w:eastAsia="黑体"/>
          <w:b w:val="0"/>
          <w:bCs w:val="0"/>
          <w:sz w:val="21"/>
          <w:szCs w:val="21"/>
          <w:highlight w:val="none"/>
        </w:rPr>
        <w:t xml:space="preserve">  </w:t>
      </w:r>
      <w:bookmarkEnd w:id="98"/>
      <w:bookmarkEnd w:id="99"/>
      <w:r>
        <w:rPr>
          <w:rFonts w:hint="eastAsia" w:ascii="黑体" w:hAnsi="黑体" w:eastAsia="黑体"/>
          <w:b w:val="0"/>
          <w:bCs w:val="0"/>
          <w:sz w:val="21"/>
          <w:szCs w:val="21"/>
          <w:highlight w:val="none"/>
        </w:rPr>
        <w:t>业务流程与执行规范</w:t>
      </w:r>
      <w:bookmarkEnd w:id="100"/>
      <w:bookmarkEnd w:id="101"/>
      <w:bookmarkEnd w:id="102"/>
    </w:p>
    <w:p>
      <w:pPr>
        <w:spacing w:before="156" w:beforeLines="50"/>
        <w:ind w:firstLine="424" w:firstLineChars="202"/>
        <w:rPr>
          <w:rFonts w:ascii="宋体" w:hAnsi="宋体" w:eastAsia="宋体"/>
          <w:szCs w:val="21"/>
          <w:highlight w:val="none"/>
        </w:rPr>
      </w:pPr>
      <w:r>
        <w:rPr>
          <w:rFonts w:hint="eastAsia" w:ascii="宋体" w:hAnsi="宋体" w:eastAsia="宋体"/>
          <w:szCs w:val="21"/>
          <w:highlight w:val="none"/>
        </w:rPr>
        <w:t>各级电力企业应优化完善业务规范管理体系，根据自身业务实际情况，进一步完善政企网格融合服务业务流程与实施规范，明确各项业务流程协同界面、环节、时限等管理要点。</w:t>
      </w:r>
    </w:p>
    <w:p>
      <w:pPr>
        <w:pStyle w:val="3"/>
        <w:rPr>
          <w:rFonts w:ascii="黑体" w:hAnsi="黑体" w:eastAsia="黑体"/>
          <w:b w:val="0"/>
          <w:bCs w:val="0"/>
          <w:sz w:val="21"/>
          <w:szCs w:val="21"/>
          <w:highlight w:val="none"/>
        </w:rPr>
      </w:pPr>
      <w:bookmarkStart w:id="103" w:name="_Toc98498911"/>
      <w:bookmarkStart w:id="104" w:name="_Toc27428"/>
      <w:bookmarkStart w:id="105" w:name="_Toc132559299"/>
      <w:bookmarkStart w:id="106" w:name="_Toc306"/>
      <w:bookmarkStart w:id="107" w:name="_Toc22240"/>
      <w:r>
        <w:rPr>
          <w:rFonts w:ascii="黑体" w:hAnsi="黑体" w:eastAsia="黑体"/>
          <w:b w:val="0"/>
          <w:bCs w:val="0"/>
          <w:sz w:val="21"/>
          <w:szCs w:val="21"/>
          <w:highlight w:val="none"/>
        </w:rPr>
        <w:t>7.3</w:t>
      </w:r>
      <w:r>
        <w:rPr>
          <w:rFonts w:hint="eastAsia" w:ascii="黑体" w:hAnsi="黑体" w:eastAsia="黑体"/>
          <w:b w:val="0"/>
          <w:bCs w:val="0"/>
          <w:sz w:val="21"/>
          <w:szCs w:val="21"/>
          <w:highlight w:val="none"/>
        </w:rPr>
        <w:t xml:space="preserve">  </w:t>
      </w:r>
      <w:bookmarkEnd w:id="103"/>
      <w:bookmarkEnd w:id="104"/>
      <w:r>
        <w:rPr>
          <w:rFonts w:hint="eastAsia" w:ascii="黑体" w:hAnsi="黑体" w:eastAsia="黑体"/>
          <w:b w:val="0"/>
          <w:bCs w:val="0"/>
          <w:sz w:val="21"/>
          <w:szCs w:val="21"/>
          <w:highlight w:val="none"/>
        </w:rPr>
        <w:t>服务标准与服务规范</w:t>
      </w:r>
      <w:bookmarkEnd w:id="105"/>
      <w:bookmarkEnd w:id="106"/>
      <w:bookmarkEnd w:id="107"/>
    </w:p>
    <w:p>
      <w:pPr>
        <w:spacing w:before="156" w:beforeLines="50"/>
        <w:ind w:firstLine="424" w:firstLineChars="202"/>
        <w:rPr>
          <w:rFonts w:ascii="宋体" w:hAnsi="宋体" w:eastAsia="宋体"/>
          <w:szCs w:val="21"/>
          <w:highlight w:val="none"/>
        </w:rPr>
      </w:pPr>
      <w:r>
        <w:rPr>
          <w:rFonts w:hint="eastAsia" w:ascii="宋体" w:hAnsi="宋体" w:eastAsia="宋体"/>
          <w:szCs w:val="21"/>
          <w:highlight w:val="none"/>
        </w:rPr>
        <w:t>各级供电企业应结合组织职能体系与业务执行要求，建立完善政企网格融合服务标准与规范，公开公示政企网格融合服务承诺，严格执行各项服务规范内容。</w:t>
      </w:r>
    </w:p>
    <w:p>
      <w:pPr>
        <w:pStyle w:val="3"/>
        <w:rPr>
          <w:rFonts w:ascii="黑体" w:hAnsi="黑体" w:eastAsia="黑体"/>
          <w:b w:val="0"/>
          <w:bCs w:val="0"/>
          <w:sz w:val="21"/>
          <w:szCs w:val="21"/>
          <w:highlight w:val="none"/>
        </w:rPr>
      </w:pPr>
      <w:bookmarkStart w:id="108" w:name="_Toc9108"/>
      <w:bookmarkStart w:id="109" w:name="_Toc98498912"/>
      <w:bookmarkStart w:id="110" w:name="_Toc24737"/>
      <w:bookmarkStart w:id="111" w:name="_Toc15719"/>
      <w:bookmarkStart w:id="112" w:name="_Toc132559300"/>
      <w:r>
        <w:rPr>
          <w:rFonts w:ascii="黑体" w:hAnsi="黑体" w:eastAsia="黑体"/>
          <w:b w:val="0"/>
          <w:bCs w:val="0"/>
          <w:sz w:val="21"/>
          <w:szCs w:val="21"/>
          <w:highlight w:val="none"/>
        </w:rPr>
        <w:t xml:space="preserve">7.4 </w:t>
      </w:r>
      <w:r>
        <w:rPr>
          <w:rFonts w:hint="eastAsia" w:ascii="黑体" w:hAnsi="黑体" w:eastAsia="黑体"/>
          <w:b w:val="0"/>
          <w:bCs w:val="0"/>
          <w:sz w:val="21"/>
          <w:szCs w:val="21"/>
          <w:highlight w:val="none"/>
        </w:rPr>
        <w:t xml:space="preserve"> </w:t>
      </w:r>
      <w:bookmarkEnd w:id="108"/>
      <w:bookmarkEnd w:id="109"/>
      <w:r>
        <w:rPr>
          <w:rFonts w:hint="eastAsia" w:ascii="黑体" w:hAnsi="黑体" w:eastAsia="黑体"/>
          <w:b w:val="0"/>
          <w:bCs w:val="0"/>
          <w:sz w:val="21"/>
          <w:szCs w:val="21"/>
          <w:highlight w:val="none"/>
        </w:rPr>
        <w:t>过程管理与结果评价</w:t>
      </w:r>
      <w:bookmarkEnd w:id="110"/>
      <w:bookmarkEnd w:id="111"/>
      <w:bookmarkEnd w:id="112"/>
    </w:p>
    <w:p>
      <w:pPr>
        <w:spacing w:before="156" w:beforeLines="50"/>
        <w:ind w:firstLine="424" w:firstLineChars="202"/>
        <w:rPr>
          <w:rFonts w:ascii="宋体" w:hAnsi="宋体" w:eastAsia="宋体"/>
          <w:szCs w:val="21"/>
          <w:highlight w:val="none"/>
        </w:rPr>
      </w:pPr>
      <w:r>
        <w:rPr>
          <w:rFonts w:hint="eastAsia" w:ascii="宋体" w:hAnsi="宋体" w:eastAsia="宋体"/>
          <w:szCs w:val="21"/>
          <w:highlight w:val="none"/>
        </w:rPr>
        <w:t>各级电力企业应建立健全政企网格融合服务过程管理与结果评价应用体系，制定过程管理措施，强化结果评价与应用，加强信息化平台建设与应用，确保政企网格融合过程管理与质量管理落实。</w:t>
      </w:r>
    </w:p>
    <w:p>
      <w:pPr>
        <w:rPr>
          <w:rFonts w:ascii="黑体" w:hAnsi="黑体" w:eastAsia="黑体"/>
          <w:sz w:val="28"/>
          <w:szCs w:val="28"/>
          <w:highlight w:val="none"/>
        </w:rPr>
      </w:pPr>
    </w:p>
    <w:sectPr>
      <w:footerReference r:id="rId10" w:type="default"/>
      <w:footerReference r:id="rId11"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6432" behindDoc="0" locked="0" layoutInCell="1" allowOverlap="1">
              <wp:simplePos x="0" y="0"/>
              <wp:positionH relativeFrom="margin">
                <wp:posOffset>5109845</wp:posOffset>
              </wp:positionH>
              <wp:positionV relativeFrom="paragraph">
                <wp:posOffset>3175</wp:posOffset>
              </wp:positionV>
              <wp:extent cx="167640" cy="25527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7790" cy="25549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PAGE  \* MERGEFORMAT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2.35pt;margin-top:0.25pt;height:20.1pt;width:13.2pt;mso-position-horizontal-relative:margin;z-index:251666432;mso-width-relative:page;mso-height-relative:page;" filled="f" stroked="f" coordsize="21600,21600" o:gfxdata="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EumwrVAAAABwEAAA8AAAAAAAAAAQAgAAAAIgAAAGRycy9kb3ducmV2LnhtbFBL&#10;AQIUABQAAAAIAIdO4kB9WOkyMgIAAFcEAAAOAAAAAAAAAAEAIAAAACQBAABkcnMvZTJvRG9jLnht&#10;bFBLBQYAAAAABgAGAFkBAADIBQAAAAA=&#10;">
              <v:fill on="f" focussize="0,0"/>
              <v:stroke on="f" weight="0.5pt"/>
              <v:imagedata o:title=""/>
              <o:lock v:ext="edit" aspectratio="f"/>
              <v:textbox inset="0mm,0mm,0mm,0mm">
                <w:txbxContent>
                  <w:p>
                    <w:pPr>
                      <w:pStyle w:val="8"/>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PAGE  \* MERGEFORMAT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255270" cy="29591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55494" cy="29583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PAGE  \* MERGEFORMAT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3.3pt;width:20.1pt;mso-position-horizontal:outside;mso-position-horizontal-relative:margin;z-index:251667456;mso-width-relative:page;mso-height-relative:page;" filled="f" stroked="f" coordsize="21600,21600" o:gfxdata="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3SbPY0gAAAAMBAAAPAAAAAAAAAAEAIAAAACIAAABkcnMvZG93bnJldi54bWxQSwEC&#10;FAAUAAAACACHTuJAk2ZVmDMCAABXBAAADgAAAAAAAAABACAAAAAhAQAAZHJzL2Uyb0RvYy54bWxQ&#10;SwUGAAAAAAYABgBZAQAAxgUAAAAA&#10;">
              <v:fill on="f" focussize="0,0"/>
              <v:stroke on="f" weight="0.5pt"/>
              <v:imagedata o:title=""/>
              <o:lock v:ext="edit" aspectratio="f"/>
              <v:textbox inset="0mm,0mm,0mm,0mm">
                <w:txbxContent>
                  <w:p>
                    <w:pPr>
                      <w:pStyle w:val="8"/>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PAGE  \* MERGEFORMAT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-114300</wp:posOffset>
              </wp:positionV>
              <wp:extent cx="2133600" cy="5143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133600" cy="514350"/>
                      </a:xfrm>
                      <a:prstGeom prst="rect">
                        <a:avLst/>
                      </a:prstGeom>
                      <a:noFill/>
                      <a:ln w="6350">
                        <a:noFill/>
                      </a:ln>
                    </wps:spPr>
                    <wps:txbx>
                      <w:txbxContent>
                        <w:p>
                          <w:pPr>
                            <w:rPr>
                              <w:rFonts w:ascii="黑体" w:hAnsi="黑体" w:eastAsia="黑体"/>
                              <w:highlight w:val="none"/>
                            </w:rPr>
                          </w:pPr>
                          <w:r>
                            <w:rPr>
                              <w:rFonts w:hint="eastAsia" w:ascii="黑体" w:hAnsi="黑体" w:eastAsia="黑体"/>
                              <w:highlight w:val="none"/>
                            </w:rPr>
                            <w:t>标准编号X</w:t>
                          </w:r>
                          <w:r>
                            <w:rPr>
                              <w:rFonts w:ascii="黑体" w:hAnsi="黑体" w:eastAsia="黑体"/>
                              <w:highlight w:val="none"/>
                            </w:rPr>
                            <w:t>XXX-XXXXX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9pt;height:40.5pt;width:168pt;z-index:251660288;mso-width-relative:page;mso-height-relative:page;" filled="f" stroked="f" coordsize="21600,21600" o:gfxdata="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2+SrbaAAAACgEAAA8AAAAAAAAAAQAgAAAAIgAAAGRycy9k&#10;b3ducmV2LnhtbFBLAQIUABQAAAAIAIdO4kC58TzzOQIAAGgEAAAOAAAAAAAAAAEAIAAAACkBAABk&#10;cnMvZTJvRG9jLnhtbFBLBQYAAAAABgAGAFkBAADUBQAAAAA=&#10;">
              <v:fill on="f" focussize="0,0"/>
              <v:stroke on="f" weight="0.5pt"/>
              <v:imagedata o:title=""/>
              <o:lock v:ext="edit" aspectratio="f"/>
              <v:textbox>
                <w:txbxContent>
                  <w:p>
                    <w:pPr>
                      <w:rPr>
                        <w:rFonts w:ascii="黑体" w:hAnsi="黑体" w:eastAsia="黑体"/>
                        <w:highlight w:val="none"/>
                      </w:rPr>
                    </w:pPr>
                    <w:r>
                      <w:rPr>
                        <w:rFonts w:hint="eastAsia" w:ascii="黑体" w:hAnsi="黑体" w:eastAsia="黑体"/>
                        <w:highlight w:val="none"/>
                      </w:rPr>
                      <w:t>标准编号X</w:t>
                    </w:r>
                    <w:r>
                      <w:rPr>
                        <w:rFonts w:ascii="黑体" w:hAnsi="黑体" w:eastAsia="黑体"/>
                        <w:highlight w:val="none"/>
                      </w:rPr>
                      <w:t>XXX-XXXXX</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xMjlkMzUxOWNmZGQ3YTcxODJiNWYyYmQ2ZjFlZjkifQ=="/>
  </w:docVars>
  <w:rsids>
    <w:rsidRoot w:val="005E486E"/>
    <w:rsid w:val="00003396"/>
    <w:rsid w:val="0000518C"/>
    <w:rsid w:val="0000620F"/>
    <w:rsid w:val="000102FB"/>
    <w:rsid w:val="00010558"/>
    <w:rsid w:val="00010B4A"/>
    <w:rsid w:val="00014734"/>
    <w:rsid w:val="0001525C"/>
    <w:rsid w:val="00020FE5"/>
    <w:rsid w:val="000242FE"/>
    <w:rsid w:val="00026E2D"/>
    <w:rsid w:val="0002745F"/>
    <w:rsid w:val="000332D3"/>
    <w:rsid w:val="00040B52"/>
    <w:rsid w:val="00041085"/>
    <w:rsid w:val="000428DA"/>
    <w:rsid w:val="00043555"/>
    <w:rsid w:val="00043E5C"/>
    <w:rsid w:val="00046D7C"/>
    <w:rsid w:val="00046DDF"/>
    <w:rsid w:val="00052226"/>
    <w:rsid w:val="0005249F"/>
    <w:rsid w:val="0005480D"/>
    <w:rsid w:val="00055371"/>
    <w:rsid w:val="000555E9"/>
    <w:rsid w:val="00056E5D"/>
    <w:rsid w:val="000571DD"/>
    <w:rsid w:val="00063115"/>
    <w:rsid w:val="00065573"/>
    <w:rsid w:val="00066B30"/>
    <w:rsid w:val="00067B9D"/>
    <w:rsid w:val="000708DE"/>
    <w:rsid w:val="0007196D"/>
    <w:rsid w:val="0007640A"/>
    <w:rsid w:val="00092E9D"/>
    <w:rsid w:val="00094953"/>
    <w:rsid w:val="00096CFB"/>
    <w:rsid w:val="000A323A"/>
    <w:rsid w:val="000A3A2A"/>
    <w:rsid w:val="000A7C69"/>
    <w:rsid w:val="000B2784"/>
    <w:rsid w:val="000B546A"/>
    <w:rsid w:val="000B556D"/>
    <w:rsid w:val="000B730B"/>
    <w:rsid w:val="000C04B0"/>
    <w:rsid w:val="000C3906"/>
    <w:rsid w:val="000C3CB0"/>
    <w:rsid w:val="000C70BA"/>
    <w:rsid w:val="000D1BF4"/>
    <w:rsid w:val="000D3B1A"/>
    <w:rsid w:val="000E4249"/>
    <w:rsid w:val="000E435C"/>
    <w:rsid w:val="000F2D18"/>
    <w:rsid w:val="000F32FF"/>
    <w:rsid w:val="000F440E"/>
    <w:rsid w:val="000F4E6D"/>
    <w:rsid w:val="000F52AB"/>
    <w:rsid w:val="001003B2"/>
    <w:rsid w:val="001027C8"/>
    <w:rsid w:val="001049B8"/>
    <w:rsid w:val="00104B77"/>
    <w:rsid w:val="00104D3A"/>
    <w:rsid w:val="00105FAA"/>
    <w:rsid w:val="00107C2B"/>
    <w:rsid w:val="00111333"/>
    <w:rsid w:val="001178BC"/>
    <w:rsid w:val="001238A8"/>
    <w:rsid w:val="00123AF0"/>
    <w:rsid w:val="00127170"/>
    <w:rsid w:val="00133FA4"/>
    <w:rsid w:val="00135FB6"/>
    <w:rsid w:val="00137891"/>
    <w:rsid w:val="00137C1E"/>
    <w:rsid w:val="001401A9"/>
    <w:rsid w:val="00143215"/>
    <w:rsid w:val="00145212"/>
    <w:rsid w:val="00147F62"/>
    <w:rsid w:val="00150598"/>
    <w:rsid w:val="0015385C"/>
    <w:rsid w:val="00156D01"/>
    <w:rsid w:val="001650C0"/>
    <w:rsid w:val="00167ECA"/>
    <w:rsid w:val="00167FBA"/>
    <w:rsid w:val="00172AB9"/>
    <w:rsid w:val="001756BD"/>
    <w:rsid w:val="00180F8A"/>
    <w:rsid w:val="00183D01"/>
    <w:rsid w:val="001861BC"/>
    <w:rsid w:val="00186F02"/>
    <w:rsid w:val="00191A41"/>
    <w:rsid w:val="001955A6"/>
    <w:rsid w:val="001A5098"/>
    <w:rsid w:val="001A755E"/>
    <w:rsid w:val="001C0A68"/>
    <w:rsid w:val="001C4D77"/>
    <w:rsid w:val="001C557D"/>
    <w:rsid w:val="001D048B"/>
    <w:rsid w:val="001D26D1"/>
    <w:rsid w:val="001D3527"/>
    <w:rsid w:val="001D4A44"/>
    <w:rsid w:val="001D5431"/>
    <w:rsid w:val="001D6F36"/>
    <w:rsid w:val="001D7965"/>
    <w:rsid w:val="001E290D"/>
    <w:rsid w:val="001E3369"/>
    <w:rsid w:val="001E66CC"/>
    <w:rsid w:val="001E68BA"/>
    <w:rsid w:val="001E6C59"/>
    <w:rsid w:val="001E7420"/>
    <w:rsid w:val="001E76FC"/>
    <w:rsid w:val="001F03C0"/>
    <w:rsid w:val="001F0433"/>
    <w:rsid w:val="001F1704"/>
    <w:rsid w:val="001F51C0"/>
    <w:rsid w:val="001F579F"/>
    <w:rsid w:val="00203C92"/>
    <w:rsid w:val="00207150"/>
    <w:rsid w:val="002159ED"/>
    <w:rsid w:val="002179EC"/>
    <w:rsid w:val="00217D89"/>
    <w:rsid w:val="002246F7"/>
    <w:rsid w:val="002248D6"/>
    <w:rsid w:val="00225DA4"/>
    <w:rsid w:val="0022718E"/>
    <w:rsid w:val="00227C54"/>
    <w:rsid w:val="002301D1"/>
    <w:rsid w:val="00234E87"/>
    <w:rsid w:val="002379EF"/>
    <w:rsid w:val="00245076"/>
    <w:rsid w:val="00251A58"/>
    <w:rsid w:val="00252E17"/>
    <w:rsid w:val="00260FA7"/>
    <w:rsid w:val="00265660"/>
    <w:rsid w:val="00265F42"/>
    <w:rsid w:val="00270C6D"/>
    <w:rsid w:val="002730D9"/>
    <w:rsid w:val="0027365F"/>
    <w:rsid w:val="00276649"/>
    <w:rsid w:val="00277628"/>
    <w:rsid w:val="00280F71"/>
    <w:rsid w:val="00281E0C"/>
    <w:rsid w:val="00286DAC"/>
    <w:rsid w:val="00290AA4"/>
    <w:rsid w:val="002946EE"/>
    <w:rsid w:val="00296239"/>
    <w:rsid w:val="002A1249"/>
    <w:rsid w:val="002A1341"/>
    <w:rsid w:val="002A3F69"/>
    <w:rsid w:val="002B06C2"/>
    <w:rsid w:val="002B3AB3"/>
    <w:rsid w:val="002B625C"/>
    <w:rsid w:val="002B6EBE"/>
    <w:rsid w:val="002C0E62"/>
    <w:rsid w:val="002C2CF5"/>
    <w:rsid w:val="002C2DC3"/>
    <w:rsid w:val="002C41C0"/>
    <w:rsid w:val="002C55FD"/>
    <w:rsid w:val="002C6A83"/>
    <w:rsid w:val="002D117E"/>
    <w:rsid w:val="002D2449"/>
    <w:rsid w:val="002E518F"/>
    <w:rsid w:val="002E77CB"/>
    <w:rsid w:val="002F0619"/>
    <w:rsid w:val="002F06C2"/>
    <w:rsid w:val="002F1D30"/>
    <w:rsid w:val="002F5482"/>
    <w:rsid w:val="002F7E0C"/>
    <w:rsid w:val="00302A1F"/>
    <w:rsid w:val="00303B01"/>
    <w:rsid w:val="003135C0"/>
    <w:rsid w:val="00321B55"/>
    <w:rsid w:val="00324DD7"/>
    <w:rsid w:val="00324EFE"/>
    <w:rsid w:val="00325A70"/>
    <w:rsid w:val="00330730"/>
    <w:rsid w:val="00332A67"/>
    <w:rsid w:val="00334A62"/>
    <w:rsid w:val="0033799D"/>
    <w:rsid w:val="0034030F"/>
    <w:rsid w:val="00346C17"/>
    <w:rsid w:val="003520A8"/>
    <w:rsid w:val="003522EE"/>
    <w:rsid w:val="003553AE"/>
    <w:rsid w:val="0035591D"/>
    <w:rsid w:val="00356444"/>
    <w:rsid w:val="0035753E"/>
    <w:rsid w:val="00360A50"/>
    <w:rsid w:val="003667FA"/>
    <w:rsid w:val="00376810"/>
    <w:rsid w:val="00380289"/>
    <w:rsid w:val="003825C5"/>
    <w:rsid w:val="00384B9F"/>
    <w:rsid w:val="00386A92"/>
    <w:rsid w:val="0039418A"/>
    <w:rsid w:val="003A2380"/>
    <w:rsid w:val="003A24CD"/>
    <w:rsid w:val="003B6708"/>
    <w:rsid w:val="003B7948"/>
    <w:rsid w:val="003B7D33"/>
    <w:rsid w:val="003B7ED2"/>
    <w:rsid w:val="003C20A7"/>
    <w:rsid w:val="003C4C79"/>
    <w:rsid w:val="003C4DE2"/>
    <w:rsid w:val="003D4F82"/>
    <w:rsid w:val="003E0044"/>
    <w:rsid w:val="003E3EC9"/>
    <w:rsid w:val="003E4283"/>
    <w:rsid w:val="003F2A0F"/>
    <w:rsid w:val="003F2DE4"/>
    <w:rsid w:val="003F3257"/>
    <w:rsid w:val="003F5341"/>
    <w:rsid w:val="004016A4"/>
    <w:rsid w:val="004034F1"/>
    <w:rsid w:val="00414215"/>
    <w:rsid w:val="00416BF2"/>
    <w:rsid w:val="0041757C"/>
    <w:rsid w:val="0041759F"/>
    <w:rsid w:val="00421CFC"/>
    <w:rsid w:val="00427BFD"/>
    <w:rsid w:val="00427F90"/>
    <w:rsid w:val="00430377"/>
    <w:rsid w:val="00431F0C"/>
    <w:rsid w:val="00432BCC"/>
    <w:rsid w:val="0043353B"/>
    <w:rsid w:val="00435552"/>
    <w:rsid w:val="004360AD"/>
    <w:rsid w:val="00441B2F"/>
    <w:rsid w:val="004446CB"/>
    <w:rsid w:val="00447B94"/>
    <w:rsid w:val="004510E0"/>
    <w:rsid w:val="0045336D"/>
    <w:rsid w:val="004676C3"/>
    <w:rsid w:val="00471E4F"/>
    <w:rsid w:val="00472CBE"/>
    <w:rsid w:val="0047301F"/>
    <w:rsid w:val="004740E5"/>
    <w:rsid w:val="004774C1"/>
    <w:rsid w:val="00477EE0"/>
    <w:rsid w:val="0048015D"/>
    <w:rsid w:val="004817EA"/>
    <w:rsid w:val="0048343A"/>
    <w:rsid w:val="004852E1"/>
    <w:rsid w:val="00486014"/>
    <w:rsid w:val="00486313"/>
    <w:rsid w:val="004870B0"/>
    <w:rsid w:val="00487EFB"/>
    <w:rsid w:val="00493F8C"/>
    <w:rsid w:val="00497DAD"/>
    <w:rsid w:val="004A0D7A"/>
    <w:rsid w:val="004A2F0A"/>
    <w:rsid w:val="004A6DD4"/>
    <w:rsid w:val="004B0E57"/>
    <w:rsid w:val="004B206D"/>
    <w:rsid w:val="004B4DCD"/>
    <w:rsid w:val="004B5C1D"/>
    <w:rsid w:val="004C2679"/>
    <w:rsid w:val="004D1DEA"/>
    <w:rsid w:val="004D2043"/>
    <w:rsid w:val="004D28A0"/>
    <w:rsid w:val="004D3706"/>
    <w:rsid w:val="004F00DB"/>
    <w:rsid w:val="004F1B37"/>
    <w:rsid w:val="004F34DB"/>
    <w:rsid w:val="004F5DE7"/>
    <w:rsid w:val="00500662"/>
    <w:rsid w:val="00501828"/>
    <w:rsid w:val="00502225"/>
    <w:rsid w:val="005024DD"/>
    <w:rsid w:val="005051A8"/>
    <w:rsid w:val="0050758C"/>
    <w:rsid w:val="0051219B"/>
    <w:rsid w:val="00512A4E"/>
    <w:rsid w:val="0051379A"/>
    <w:rsid w:val="00513BFC"/>
    <w:rsid w:val="00513C15"/>
    <w:rsid w:val="00532696"/>
    <w:rsid w:val="005353DE"/>
    <w:rsid w:val="005366BD"/>
    <w:rsid w:val="00540104"/>
    <w:rsid w:val="00541994"/>
    <w:rsid w:val="00544DB9"/>
    <w:rsid w:val="00546456"/>
    <w:rsid w:val="00547509"/>
    <w:rsid w:val="00551DA5"/>
    <w:rsid w:val="0056194F"/>
    <w:rsid w:val="00566167"/>
    <w:rsid w:val="00570C74"/>
    <w:rsid w:val="005732E9"/>
    <w:rsid w:val="005913C2"/>
    <w:rsid w:val="00592C69"/>
    <w:rsid w:val="0059479D"/>
    <w:rsid w:val="005A0E2E"/>
    <w:rsid w:val="005A1434"/>
    <w:rsid w:val="005A72DD"/>
    <w:rsid w:val="005A74E6"/>
    <w:rsid w:val="005B14E7"/>
    <w:rsid w:val="005B6221"/>
    <w:rsid w:val="005C2AA0"/>
    <w:rsid w:val="005C2E20"/>
    <w:rsid w:val="005C3661"/>
    <w:rsid w:val="005C4284"/>
    <w:rsid w:val="005C7C05"/>
    <w:rsid w:val="005D314B"/>
    <w:rsid w:val="005D53B7"/>
    <w:rsid w:val="005D6884"/>
    <w:rsid w:val="005E0355"/>
    <w:rsid w:val="005E2267"/>
    <w:rsid w:val="005E4299"/>
    <w:rsid w:val="005E486E"/>
    <w:rsid w:val="005E4D39"/>
    <w:rsid w:val="005E5EB2"/>
    <w:rsid w:val="005E6DBA"/>
    <w:rsid w:val="005F2BF6"/>
    <w:rsid w:val="005F41CE"/>
    <w:rsid w:val="005F4E5D"/>
    <w:rsid w:val="005F6425"/>
    <w:rsid w:val="005F692A"/>
    <w:rsid w:val="005F7698"/>
    <w:rsid w:val="00600F79"/>
    <w:rsid w:val="00600FD4"/>
    <w:rsid w:val="00601FD6"/>
    <w:rsid w:val="00602059"/>
    <w:rsid w:val="00602FFB"/>
    <w:rsid w:val="00605620"/>
    <w:rsid w:val="00607104"/>
    <w:rsid w:val="00607204"/>
    <w:rsid w:val="0060734B"/>
    <w:rsid w:val="00610729"/>
    <w:rsid w:val="006128CE"/>
    <w:rsid w:val="00620836"/>
    <w:rsid w:val="00620AD8"/>
    <w:rsid w:val="0062296B"/>
    <w:rsid w:val="00623A07"/>
    <w:rsid w:val="00626847"/>
    <w:rsid w:val="0062780E"/>
    <w:rsid w:val="006315DB"/>
    <w:rsid w:val="006318C3"/>
    <w:rsid w:val="006323F5"/>
    <w:rsid w:val="006347BA"/>
    <w:rsid w:val="00637070"/>
    <w:rsid w:val="00643D23"/>
    <w:rsid w:val="00644085"/>
    <w:rsid w:val="00646289"/>
    <w:rsid w:val="00647844"/>
    <w:rsid w:val="00647846"/>
    <w:rsid w:val="0065087C"/>
    <w:rsid w:val="006537D7"/>
    <w:rsid w:val="00660065"/>
    <w:rsid w:val="00662EEA"/>
    <w:rsid w:val="00663409"/>
    <w:rsid w:val="00665340"/>
    <w:rsid w:val="00670A5C"/>
    <w:rsid w:val="00672FA8"/>
    <w:rsid w:val="006766C8"/>
    <w:rsid w:val="00677FB1"/>
    <w:rsid w:val="0068010A"/>
    <w:rsid w:val="0068026D"/>
    <w:rsid w:val="00681B4F"/>
    <w:rsid w:val="00686279"/>
    <w:rsid w:val="00693697"/>
    <w:rsid w:val="00693975"/>
    <w:rsid w:val="00696D34"/>
    <w:rsid w:val="006A2E9C"/>
    <w:rsid w:val="006A62DB"/>
    <w:rsid w:val="006A6AC0"/>
    <w:rsid w:val="006A6DAF"/>
    <w:rsid w:val="006B0565"/>
    <w:rsid w:val="006B22B1"/>
    <w:rsid w:val="006B6D79"/>
    <w:rsid w:val="006B7932"/>
    <w:rsid w:val="006B7DBD"/>
    <w:rsid w:val="006C170C"/>
    <w:rsid w:val="006C20C1"/>
    <w:rsid w:val="006C6268"/>
    <w:rsid w:val="006D125C"/>
    <w:rsid w:val="006D2A89"/>
    <w:rsid w:val="006D338B"/>
    <w:rsid w:val="006D7FC0"/>
    <w:rsid w:val="006F1527"/>
    <w:rsid w:val="006F2925"/>
    <w:rsid w:val="006F4888"/>
    <w:rsid w:val="006F703A"/>
    <w:rsid w:val="00703AFF"/>
    <w:rsid w:val="0071271A"/>
    <w:rsid w:val="007136D7"/>
    <w:rsid w:val="0071553C"/>
    <w:rsid w:val="00721389"/>
    <w:rsid w:val="00722DFC"/>
    <w:rsid w:val="007245BC"/>
    <w:rsid w:val="007304A3"/>
    <w:rsid w:val="00732FC0"/>
    <w:rsid w:val="007336C0"/>
    <w:rsid w:val="007424BD"/>
    <w:rsid w:val="007424CD"/>
    <w:rsid w:val="00745C65"/>
    <w:rsid w:val="0075707E"/>
    <w:rsid w:val="0075711C"/>
    <w:rsid w:val="00757311"/>
    <w:rsid w:val="00765BBC"/>
    <w:rsid w:val="00766B11"/>
    <w:rsid w:val="0076710E"/>
    <w:rsid w:val="00767BEA"/>
    <w:rsid w:val="0077229F"/>
    <w:rsid w:val="0077564C"/>
    <w:rsid w:val="00775B30"/>
    <w:rsid w:val="0078277C"/>
    <w:rsid w:val="00782B03"/>
    <w:rsid w:val="007831F6"/>
    <w:rsid w:val="00783865"/>
    <w:rsid w:val="00785777"/>
    <w:rsid w:val="007909E8"/>
    <w:rsid w:val="00791412"/>
    <w:rsid w:val="00791EFB"/>
    <w:rsid w:val="00794A68"/>
    <w:rsid w:val="00797AA5"/>
    <w:rsid w:val="007A4402"/>
    <w:rsid w:val="007A466D"/>
    <w:rsid w:val="007A60AF"/>
    <w:rsid w:val="007A65B4"/>
    <w:rsid w:val="007B088D"/>
    <w:rsid w:val="007B1C4F"/>
    <w:rsid w:val="007B4D84"/>
    <w:rsid w:val="007C0152"/>
    <w:rsid w:val="007C4C91"/>
    <w:rsid w:val="007D03A6"/>
    <w:rsid w:val="007D1A7E"/>
    <w:rsid w:val="007D391F"/>
    <w:rsid w:val="007D415F"/>
    <w:rsid w:val="007E15EE"/>
    <w:rsid w:val="007E57FB"/>
    <w:rsid w:val="007F0024"/>
    <w:rsid w:val="007F1052"/>
    <w:rsid w:val="007F1441"/>
    <w:rsid w:val="007F1FB5"/>
    <w:rsid w:val="007F4500"/>
    <w:rsid w:val="007F5DC9"/>
    <w:rsid w:val="00800CC2"/>
    <w:rsid w:val="0080293B"/>
    <w:rsid w:val="0080373D"/>
    <w:rsid w:val="00805459"/>
    <w:rsid w:val="00810186"/>
    <w:rsid w:val="00812BD8"/>
    <w:rsid w:val="00815EC5"/>
    <w:rsid w:val="00817903"/>
    <w:rsid w:val="0082020D"/>
    <w:rsid w:val="0082076E"/>
    <w:rsid w:val="00821EE5"/>
    <w:rsid w:val="0082454E"/>
    <w:rsid w:val="008248A5"/>
    <w:rsid w:val="008251E7"/>
    <w:rsid w:val="00826834"/>
    <w:rsid w:val="00834B48"/>
    <w:rsid w:val="00845229"/>
    <w:rsid w:val="00846380"/>
    <w:rsid w:val="008465D0"/>
    <w:rsid w:val="008501F8"/>
    <w:rsid w:val="008523F6"/>
    <w:rsid w:val="00853A29"/>
    <w:rsid w:val="0086741E"/>
    <w:rsid w:val="00881232"/>
    <w:rsid w:val="00881405"/>
    <w:rsid w:val="00882A94"/>
    <w:rsid w:val="00886B18"/>
    <w:rsid w:val="008933EB"/>
    <w:rsid w:val="008B0343"/>
    <w:rsid w:val="008B0823"/>
    <w:rsid w:val="008B586D"/>
    <w:rsid w:val="008B70E4"/>
    <w:rsid w:val="008C1C52"/>
    <w:rsid w:val="008C1CEB"/>
    <w:rsid w:val="008C2A42"/>
    <w:rsid w:val="008C6713"/>
    <w:rsid w:val="008C7F60"/>
    <w:rsid w:val="008D22A0"/>
    <w:rsid w:val="008D6846"/>
    <w:rsid w:val="008E1164"/>
    <w:rsid w:val="008E324C"/>
    <w:rsid w:val="008E36DE"/>
    <w:rsid w:val="008E6061"/>
    <w:rsid w:val="008E6FE4"/>
    <w:rsid w:val="008F32C7"/>
    <w:rsid w:val="008F4829"/>
    <w:rsid w:val="008F5366"/>
    <w:rsid w:val="008F7F17"/>
    <w:rsid w:val="00903050"/>
    <w:rsid w:val="009042AC"/>
    <w:rsid w:val="0090789D"/>
    <w:rsid w:val="00910EA5"/>
    <w:rsid w:val="00911B4E"/>
    <w:rsid w:val="00912B93"/>
    <w:rsid w:val="009130A6"/>
    <w:rsid w:val="00913D56"/>
    <w:rsid w:val="00915461"/>
    <w:rsid w:val="00916ADA"/>
    <w:rsid w:val="00917607"/>
    <w:rsid w:val="0092714C"/>
    <w:rsid w:val="00930B6A"/>
    <w:rsid w:val="00931B98"/>
    <w:rsid w:val="009333AB"/>
    <w:rsid w:val="00935B2E"/>
    <w:rsid w:val="00936238"/>
    <w:rsid w:val="00940499"/>
    <w:rsid w:val="00943ADF"/>
    <w:rsid w:val="009455F5"/>
    <w:rsid w:val="0095440A"/>
    <w:rsid w:val="00954533"/>
    <w:rsid w:val="00954A11"/>
    <w:rsid w:val="009607B1"/>
    <w:rsid w:val="00961DEE"/>
    <w:rsid w:val="009631D2"/>
    <w:rsid w:val="00963DC9"/>
    <w:rsid w:val="009647D5"/>
    <w:rsid w:val="00964808"/>
    <w:rsid w:val="00967429"/>
    <w:rsid w:val="0097279B"/>
    <w:rsid w:val="00973A57"/>
    <w:rsid w:val="00973C73"/>
    <w:rsid w:val="00987F09"/>
    <w:rsid w:val="0099032B"/>
    <w:rsid w:val="009943FC"/>
    <w:rsid w:val="00996663"/>
    <w:rsid w:val="009976B2"/>
    <w:rsid w:val="009A3531"/>
    <w:rsid w:val="009A552F"/>
    <w:rsid w:val="009B5F51"/>
    <w:rsid w:val="009C0182"/>
    <w:rsid w:val="009C3423"/>
    <w:rsid w:val="009D18D2"/>
    <w:rsid w:val="009D402A"/>
    <w:rsid w:val="009D53C9"/>
    <w:rsid w:val="009F511D"/>
    <w:rsid w:val="009F76CB"/>
    <w:rsid w:val="00A073B0"/>
    <w:rsid w:val="00A130B9"/>
    <w:rsid w:val="00A1542D"/>
    <w:rsid w:val="00A335A9"/>
    <w:rsid w:val="00A35FCB"/>
    <w:rsid w:val="00A36902"/>
    <w:rsid w:val="00A40A80"/>
    <w:rsid w:val="00A44F8D"/>
    <w:rsid w:val="00A47BA6"/>
    <w:rsid w:val="00A505CB"/>
    <w:rsid w:val="00A62F79"/>
    <w:rsid w:val="00A64487"/>
    <w:rsid w:val="00A677CC"/>
    <w:rsid w:val="00A70B93"/>
    <w:rsid w:val="00A72269"/>
    <w:rsid w:val="00A81979"/>
    <w:rsid w:val="00A873D3"/>
    <w:rsid w:val="00A91A5F"/>
    <w:rsid w:val="00A96C7A"/>
    <w:rsid w:val="00AA21CE"/>
    <w:rsid w:val="00AA36D1"/>
    <w:rsid w:val="00AA4F86"/>
    <w:rsid w:val="00AA6DEF"/>
    <w:rsid w:val="00AB0B51"/>
    <w:rsid w:val="00AB3B84"/>
    <w:rsid w:val="00AB697F"/>
    <w:rsid w:val="00AB7C10"/>
    <w:rsid w:val="00AC0D69"/>
    <w:rsid w:val="00AC170B"/>
    <w:rsid w:val="00AD2756"/>
    <w:rsid w:val="00AD2FDA"/>
    <w:rsid w:val="00AD59E9"/>
    <w:rsid w:val="00AD775A"/>
    <w:rsid w:val="00AE22B5"/>
    <w:rsid w:val="00AE7AFA"/>
    <w:rsid w:val="00AF2F67"/>
    <w:rsid w:val="00AF4B6A"/>
    <w:rsid w:val="00AF5021"/>
    <w:rsid w:val="00AF5E6A"/>
    <w:rsid w:val="00AF7614"/>
    <w:rsid w:val="00B00943"/>
    <w:rsid w:val="00B03986"/>
    <w:rsid w:val="00B05F7B"/>
    <w:rsid w:val="00B11F02"/>
    <w:rsid w:val="00B1363D"/>
    <w:rsid w:val="00B138AB"/>
    <w:rsid w:val="00B14E17"/>
    <w:rsid w:val="00B1745E"/>
    <w:rsid w:val="00B2119B"/>
    <w:rsid w:val="00B276F5"/>
    <w:rsid w:val="00B308DC"/>
    <w:rsid w:val="00B30BC5"/>
    <w:rsid w:val="00B33C20"/>
    <w:rsid w:val="00B369D9"/>
    <w:rsid w:val="00B37345"/>
    <w:rsid w:val="00B37622"/>
    <w:rsid w:val="00B42DA9"/>
    <w:rsid w:val="00B51F88"/>
    <w:rsid w:val="00B525F0"/>
    <w:rsid w:val="00B54398"/>
    <w:rsid w:val="00B554E0"/>
    <w:rsid w:val="00B60F85"/>
    <w:rsid w:val="00B625D2"/>
    <w:rsid w:val="00B679B1"/>
    <w:rsid w:val="00B73156"/>
    <w:rsid w:val="00B74096"/>
    <w:rsid w:val="00B762EB"/>
    <w:rsid w:val="00B83543"/>
    <w:rsid w:val="00B843A8"/>
    <w:rsid w:val="00B85DDB"/>
    <w:rsid w:val="00B90596"/>
    <w:rsid w:val="00B928E5"/>
    <w:rsid w:val="00B95A6B"/>
    <w:rsid w:val="00BA013B"/>
    <w:rsid w:val="00BA151A"/>
    <w:rsid w:val="00BA5231"/>
    <w:rsid w:val="00BA588A"/>
    <w:rsid w:val="00BA68CC"/>
    <w:rsid w:val="00BB6592"/>
    <w:rsid w:val="00BC1040"/>
    <w:rsid w:val="00BC5321"/>
    <w:rsid w:val="00BC6D0A"/>
    <w:rsid w:val="00BC7ABF"/>
    <w:rsid w:val="00BD5ADC"/>
    <w:rsid w:val="00BE3AB4"/>
    <w:rsid w:val="00BE5AB8"/>
    <w:rsid w:val="00BE6A41"/>
    <w:rsid w:val="00BF037D"/>
    <w:rsid w:val="00BF3B4E"/>
    <w:rsid w:val="00BF4307"/>
    <w:rsid w:val="00BF6E5C"/>
    <w:rsid w:val="00BF788F"/>
    <w:rsid w:val="00C12D30"/>
    <w:rsid w:val="00C15BBE"/>
    <w:rsid w:val="00C16C06"/>
    <w:rsid w:val="00C1780B"/>
    <w:rsid w:val="00C20289"/>
    <w:rsid w:val="00C207A0"/>
    <w:rsid w:val="00C22E06"/>
    <w:rsid w:val="00C232F9"/>
    <w:rsid w:val="00C25985"/>
    <w:rsid w:val="00C27806"/>
    <w:rsid w:val="00C3265B"/>
    <w:rsid w:val="00C32944"/>
    <w:rsid w:val="00C342EB"/>
    <w:rsid w:val="00C36649"/>
    <w:rsid w:val="00C50C1B"/>
    <w:rsid w:val="00C51607"/>
    <w:rsid w:val="00C52FDB"/>
    <w:rsid w:val="00C53F5D"/>
    <w:rsid w:val="00C565ED"/>
    <w:rsid w:val="00C71E36"/>
    <w:rsid w:val="00C73285"/>
    <w:rsid w:val="00C74A84"/>
    <w:rsid w:val="00C7667F"/>
    <w:rsid w:val="00C76FC6"/>
    <w:rsid w:val="00C82B3E"/>
    <w:rsid w:val="00C87966"/>
    <w:rsid w:val="00C90424"/>
    <w:rsid w:val="00C905BC"/>
    <w:rsid w:val="00C939DB"/>
    <w:rsid w:val="00CB0769"/>
    <w:rsid w:val="00CB1576"/>
    <w:rsid w:val="00CB2601"/>
    <w:rsid w:val="00CC0C14"/>
    <w:rsid w:val="00CC255C"/>
    <w:rsid w:val="00CC4CF9"/>
    <w:rsid w:val="00CC54C3"/>
    <w:rsid w:val="00CD520C"/>
    <w:rsid w:val="00CD5F14"/>
    <w:rsid w:val="00CD7FAE"/>
    <w:rsid w:val="00CE4A7A"/>
    <w:rsid w:val="00CE6613"/>
    <w:rsid w:val="00CE6FBF"/>
    <w:rsid w:val="00CF30C0"/>
    <w:rsid w:val="00CF3FE6"/>
    <w:rsid w:val="00D03022"/>
    <w:rsid w:val="00D10183"/>
    <w:rsid w:val="00D152A0"/>
    <w:rsid w:val="00D16502"/>
    <w:rsid w:val="00D17C8C"/>
    <w:rsid w:val="00D2002D"/>
    <w:rsid w:val="00D21D07"/>
    <w:rsid w:val="00D23DEA"/>
    <w:rsid w:val="00D24751"/>
    <w:rsid w:val="00D27D3D"/>
    <w:rsid w:val="00D3050E"/>
    <w:rsid w:val="00D32C59"/>
    <w:rsid w:val="00D35B89"/>
    <w:rsid w:val="00D37D32"/>
    <w:rsid w:val="00D403BE"/>
    <w:rsid w:val="00D4063D"/>
    <w:rsid w:val="00D41406"/>
    <w:rsid w:val="00D45E98"/>
    <w:rsid w:val="00D51158"/>
    <w:rsid w:val="00D525AE"/>
    <w:rsid w:val="00D54700"/>
    <w:rsid w:val="00D61C4D"/>
    <w:rsid w:val="00D66EE9"/>
    <w:rsid w:val="00D7155C"/>
    <w:rsid w:val="00D72B51"/>
    <w:rsid w:val="00D7372B"/>
    <w:rsid w:val="00D743EA"/>
    <w:rsid w:val="00D7454A"/>
    <w:rsid w:val="00D76014"/>
    <w:rsid w:val="00D77C6E"/>
    <w:rsid w:val="00D81D01"/>
    <w:rsid w:val="00D842EE"/>
    <w:rsid w:val="00D8534B"/>
    <w:rsid w:val="00D925F1"/>
    <w:rsid w:val="00D92611"/>
    <w:rsid w:val="00D92F41"/>
    <w:rsid w:val="00D9511A"/>
    <w:rsid w:val="00DA54DF"/>
    <w:rsid w:val="00DA6B07"/>
    <w:rsid w:val="00DB2459"/>
    <w:rsid w:val="00DB5803"/>
    <w:rsid w:val="00DC1AEE"/>
    <w:rsid w:val="00DC2E1D"/>
    <w:rsid w:val="00DD594A"/>
    <w:rsid w:val="00DD6A9A"/>
    <w:rsid w:val="00DE1A8B"/>
    <w:rsid w:val="00DE3A04"/>
    <w:rsid w:val="00DE41F8"/>
    <w:rsid w:val="00DE783E"/>
    <w:rsid w:val="00DF1C65"/>
    <w:rsid w:val="00E04E42"/>
    <w:rsid w:val="00E06DC7"/>
    <w:rsid w:val="00E1278F"/>
    <w:rsid w:val="00E17FFE"/>
    <w:rsid w:val="00E20988"/>
    <w:rsid w:val="00E3048C"/>
    <w:rsid w:val="00E30789"/>
    <w:rsid w:val="00E3145C"/>
    <w:rsid w:val="00E32461"/>
    <w:rsid w:val="00E3289B"/>
    <w:rsid w:val="00E33ED4"/>
    <w:rsid w:val="00E359C8"/>
    <w:rsid w:val="00E37665"/>
    <w:rsid w:val="00E42762"/>
    <w:rsid w:val="00E42937"/>
    <w:rsid w:val="00E42F6D"/>
    <w:rsid w:val="00E4354E"/>
    <w:rsid w:val="00E43846"/>
    <w:rsid w:val="00E455B4"/>
    <w:rsid w:val="00E467A4"/>
    <w:rsid w:val="00E5297B"/>
    <w:rsid w:val="00E56E21"/>
    <w:rsid w:val="00E665D9"/>
    <w:rsid w:val="00E6673C"/>
    <w:rsid w:val="00E733A4"/>
    <w:rsid w:val="00E756BB"/>
    <w:rsid w:val="00E85A19"/>
    <w:rsid w:val="00E8613B"/>
    <w:rsid w:val="00E86293"/>
    <w:rsid w:val="00E9764C"/>
    <w:rsid w:val="00EA5786"/>
    <w:rsid w:val="00EA755B"/>
    <w:rsid w:val="00EB0444"/>
    <w:rsid w:val="00EB0779"/>
    <w:rsid w:val="00EB0B98"/>
    <w:rsid w:val="00EB34F1"/>
    <w:rsid w:val="00EB54CC"/>
    <w:rsid w:val="00EC063C"/>
    <w:rsid w:val="00EC1A9D"/>
    <w:rsid w:val="00EC1FE4"/>
    <w:rsid w:val="00EC2BA0"/>
    <w:rsid w:val="00EC409E"/>
    <w:rsid w:val="00EC7F2A"/>
    <w:rsid w:val="00ED0D36"/>
    <w:rsid w:val="00ED544B"/>
    <w:rsid w:val="00ED71F7"/>
    <w:rsid w:val="00EE2EC5"/>
    <w:rsid w:val="00EE636E"/>
    <w:rsid w:val="00EE72FF"/>
    <w:rsid w:val="00EF5A70"/>
    <w:rsid w:val="00EF777C"/>
    <w:rsid w:val="00EF7B0B"/>
    <w:rsid w:val="00F01645"/>
    <w:rsid w:val="00F03531"/>
    <w:rsid w:val="00F1023D"/>
    <w:rsid w:val="00F144F7"/>
    <w:rsid w:val="00F14C8A"/>
    <w:rsid w:val="00F15486"/>
    <w:rsid w:val="00F15787"/>
    <w:rsid w:val="00F218B3"/>
    <w:rsid w:val="00F22873"/>
    <w:rsid w:val="00F24E47"/>
    <w:rsid w:val="00F254FE"/>
    <w:rsid w:val="00F25931"/>
    <w:rsid w:val="00F262EF"/>
    <w:rsid w:val="00F31DFF"/>
    <w:rsid w:val="00F35D6A"/>
    <w:rsid w:val="00F506E9"/>
    <w:rsid w:val="00F5691F"/>
    <w:rsid w:val="00F61A6D"/>
    <w:rsid w:val="00F636A0"/>
    <w:rsid w:val="00F657CB"/>
    <w:rsid w:val="00F6618F"/>
    <w:rsid w:val="00F81E30"/>
    <w:rsid w:val="00F82395"/>
    <w:rsid w:val="00F840D6"/>
    <w:rsid w:val="00F8565A"/>
    <w:rsid w:val="00F86424"/>
    <w:rsid w:val="00F9436A"/>
    <w:rsid w:val="00FA069D"/>
    <w:rsid w:val="00FA0F87"/>
    <w:rsid w:val="00FA699E"/>
    <w:rsid w:val="00FA7421"/>
    <w:rsid w:val="00FB0821"/>
    <w:rsid w:val="00FB2265"/>
    <w:rsid w:val="00FB33ED"/>
    <w:rsid w:val="00FB40D9"/>
    <w:rsid w:val="00FC0A68"/>
    <w:rsid w:val="00FC1C30"/>
    <w:rsid w:val="00FD3B1F"/>
    <w:rsid w:val="00FD459E"/>
    <w:rsid w:val="00FD768B"/>
    <w:rsid w:val="00FD7E51"/>
    <w:rsid w:val="00FE05C9"/>
    <w:rsid w:val="00FF1563"/>
    <w:rsid w:val="00FF3A55"/>
    <w:rsid w:val="01B42AFC"/>
    <w:rsid w:val="06146933"/>
    <w:rsid w:val="0781369A"/>
    <w:rsid w:val="0955726C"/>
    <w:rsid w:val="0FE47091"/>
    <w:rsid w:val="12A90327"/>
    <w:rsid w:val="15944EB5"/>
    <w:rsid w:val="15CD2377"/>
    <w:rsid w:val="16011A8A"/>
    <w:rsid w:val="18FF69F6"/>
    <w:rsid w:val="19A86990"/>
    <w:rsid w:val="1BAF09C2"/>
    <w:rsid w:val="1EEE657D"/>
    <w:rsid w:val="202F401C"/>
    <w:rsid w:val="211949DD"/>
    <w:rsid w:val="21C10D76"/>
    <w:rsid w:val="228A7081"/>
    <w:rsid w:val="23E67C62"/>
    <w:rsid w:val="24343B2A"/>
    <w:rsid w:val="24525BD3"/>
    <w:rsid w:val="291F2A49"/>
    <w:rsid w:val="29445267"/>
    <w:rsid w:val="2B7C033F"/>
    <w:rsid w:val="2DD00991"/>
    <w:rsid w:val="2E10226C"/>
    <w:rsid w:val="2EEB2A7D"/>
    <w:rsid w:val="2FB52633"/>
    <w:rsid w:val="2FD16AC3"/>
    <w:rsid w:val="33270A9A"/>
    <w:rsid w:val="34B924A1"/>
    <w:rsid w:val="368551C4"/>
    <w:rsid w:val="38767DA0"/>
    <w:rsid w:val="38BD5663"/>
    <w:rsid w:val="3D4C1403"/>
    <w:rsid w:val="3D690A51"/>
    <w:rsid w:val="3F316A53"/>
    <w:rsid w:val="3F4C0713"/>
    <w:rsid w:val="3FAF193F"/>
    <w:rsid w:val="44D566E2"/>
    <w:rsid w:val="45677906"/>
    <w:rsid w:val="45DD2F6A"/>
    <w:rsid w:val="490B1ECA"/>
    <w:rsid w:val="49381C7B"/>
    <w:rsid w:val="4B8E61BA"/>
    <w:rsid w:val="4BAA0454"/>
    <w:rsid w:val="4C0A24B8"/>
    <w:rsid w:val="4CDE3F03"/>
    <w:rsid w:val="4D6A42ED"/>
    <w:rsid w:val="4EF90B10"/>
    <w:rsid w:val="4F4D1214"/>
    <w:rsid w:val="50D844FE"/>
    <w:rsid w:val="524E5126"/>
    <w:rsid w:val="53362656"/>
    <w:rsid w:val="5356548D"/>
    <w:rsid w:val="54670AC6"/>
    <w:rsid w:val="55F95A90"/>
    <w:rsid w:val="583D457A"/>
    <w:rsid w:val="58857C2B"/>
    <w:rsid w:val="5A506BED"/>
    <w:rsid w:val="5BB309DE"/>
    <w:rsid w:val="5CAF4BEE"/>
    <w:rsid w:val="5DCC370F"/>
    <w:rsid w:val="5F566449"/>
    <w:rsid w:val="61502C69"/>
    <w:rsid w:val="62BC7CCA"/>
    <w:rsid w:val="62C82A9C"/>
    <w:rsid w:val="64B12B70"/>
    <w:rsid w:val="64F97FAB"/>
    <w:rsid w:val="65E11B74"/>
    <w:rsid w:val="66E3629C"/>
    <w:rsid w:val="683C2D25"/>
    <w:rsid w:val="70B51EA8"/>
    <w:rsid w:val="73A11163"/>
    <w:rsid w:val="7539590B"/>
    <w:rsid w:val="76A80C71"/>
    <w:rsid w:val="78F847E8"/>
    <w:rsid w:val="7FB8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semiHidden/>
    <w:unhideWhenUsed/>
    <w:qFormat/>
    <w:uiPriority w:val="99"/>
    <w:pPr>
      <w:jc w:val="left"/>
    </w:pPr>
  </w:style>
  <w:style w:type="paragraph" w:styleId="5">
    <w:name w:val="toc 3"/>
    <w:basedOn w:val="1"/>
    <w:next w:val="1"/>
    <w:semiHidden/>
    <w:unhideWhenUsed/>
    <w:qFormat/>
    <w:uiPriority w:val="39"/>
    <w:pPr>
      <w:ind w:left="840" w:leftChars="400"/>
    </w:pPr>
  </w:style>
  <w:style w:type="paragraph" w:styleId="6">
    <w:name w:val="Date"/>
    <w:basedOn w:val="1"/>
    <w:next w:val="1"/>
    <w:link w:val="24"/>
    <w:semiHidden/>
    <w:unhideWhenUsed/>
    <w:qFormat/>
    <w:uiPriority w:val="99"/>
    <w:pPr>
      <w:ind w:left="100" w:leftChars="2500"/>
    </w:pPr>
  </w:style>
  <w:style w:type="paragraph" w:styleId="7">
    <w:name w:val="Balloon Text"/>
    <w:basedOn w:val="1"/>
    <w:link w:val="36"/>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HTML Preformatted"/>
    <w:basedOn w:val="1"/>
    <w:link w:val="2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annotation subject"/>
    <w:basedOn w:val="4"/>
    <w:next w:val="4"/>
    <w:link w:val="28"/>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semiHidden/>
    <w:unhideWhenUsed/>
    <w:qFormat/>
    <w:uiPriority w:val="99"/>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页眉 字符"/>
    <w:basedOn w:val="17"/>
    <w:link w:val="9"/>
    <w:qFormat/>
    <w:uiPriority w:val="99"/>
    <w:rPr>
      <w:sz w:val="18"/>
      <w:szCs w:val="18"/>
    </w:rPr>
  </w:style>
  <w:style w:type="character" w:customStyle="1" w:styleId="22">
    <w:name w:val="页脚 字符"/>
    <w:basedOn w:val="17"/>
    <w:link w:val="8"/>
    <w:qFormat/>
    <w:uiPriority w:val="99"/>
    <w:rPr>
      <w:sz w:val="18"/>
      <w:szCs w:val="18"/>
    </w:rPr>
  </w:style>
  <w:style w:type="character" w:customStyle="1" w:styleId="23">
    <w:name w:val="标题 1 字符"/>
    <w:basedOn w:val="17"/>
    <w:link w:val="2"/>
    <w:qFormat/>
    <w:uiPriority w:val="9"/>
    <w:rPr>
      <w:b/>
      <w:bCs/>
      <w:kern w:val="44"/>
      <w:sz w:val="44"/>
      <w:szCs w:val="44"/>
    </w:rPr>
  </w:style>
  <w:style w:type="character" w:customStyle="1" w:styleId="24">
    <w:name w:val="日期 字符"/>
    <w:basedOn w:val="17"/>
    <w:link w:val="6"/>
    <w:semiHidden/>
    <w:qFormat/>
    <w:uiPriority w:val="99"/>
  </w:style>
  <w:style w:type="character" w:customStyle="1" w:styleId="25">
    <w:name w:val="HTML 预设格式 字符"/>
    <w:basedOn w:val="17"/>
    <w:link w:val="12"/>
    <w:semiHidden/>
    <w:qFormat/>
    <w:uiPriority w:val="99"/>
    <w:rPr>
      <w:rFonts w:ascii="宋体" w:hAnsi="宋体" w:eastAsia="宋体" w:cs="宋体"/>
      <w:kern w:val="0"/>
      <w:sz w:val="24"/>
    </w:rPr>
  </w:style>
  <w:style w:type="character" w:customStyle="1" w:styleId="26">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27">
    <w:name w:val="批注文字 字符"/>
    <w:basedOn w:val="17"/>
    <w:link w:val="4"/>
    <w:semiHidden/>
    <w:qFormat/>
    <w:uiPriority w:val="99"/>
  </w:style>
  <w:style w:type="character" w:customStyle="1" w:styleId="28">
    <w:name w:val="批注主题 字符"/>
    <w:basedOn w:val="27"/>
    <w:link w:val="14"/>
    <w:semiHidden/>
    <w:qFormat/>
    <w:uiPriority w:val="99"/>
    <w:rPr>
      <w:b/>
      <w:bCs/>
    </w:rPr>
  </w:style>
  <w:style w:type="character" w:customStyle="1" w:styleId="29">
    <w:name w:val="fontstyle01"/>
    <w:basedOn w:val="17"/>
    <w:qFormat/>
    <w:uiPriority w:val="0"/>
    <w:rPr>
      <w:rFonts w:hint="eastAsia" w:ascii="宋体" w:hAnsi="宋体" w:eastAsia="宋体"/>
      <w:color w:val="000000"/>
      <w:sz w:val="22"/>
      <w:szCs w:val="22"/>
    </w:rPr>
  </w:style>
  <w:style w:type="character" w:customStyle="1" w:styleId="30">
    <w:name w:val="fontstyle11"/>
    <w:basedOn w:val="17"/>
    <w:qFormat/>
    <w:uiPriority w:val="0"/>
    <w:rPr>
      <w:rFonts w:hint="default" w:ascii="TimesNewRomanPSMT" w:hAnsi="TimesNewRomanPSMT"/>
      <w:color w:val="000000"/>
      <w:sz w:val="22"/>
      <w:szCs w:val="22"/>
    </w:rPr>
  </w:style>
  <w:style w:type="paragraph" w:customStyle="1" w:styleId="3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2">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3">
    <w:name w:val="fontstyle21"/>
    <w:basedOn w:val="17"/>
    <w:qFormat/>
    <w:uiPriority w:val="0"/>
    <w:rPr>
      <w:rFonts w:hint="eastAsia" w:ascii="宋体" w:hAnsi="宋体" w:eastAsia="宋体"/>
      <w:color w:val="000000"/>
      <w:sz w:val="18"/>
      <w:szCs w:val="18"/>
    </w:rPr>
  </w:style>
  <w:style w:type="paragraph" w:styleId="34">
    <w:name w:val="List Paragraph"/>
    <w:basedOn w:val="1"/>
    <w:qFormat/>
    <w:uiPriority w:val="34"/>
    <w:pPr>
      <w:ind w:firstLine="420" w:firstLineChars="200"/>
    </w:pPr>
    <w:rPr>
      <w:rFonts w:ascii="Calibri" w:hAnsi="Calibri" w:eastAsia="宋体" w:cs="Times New Roman"/>
    </w:rPr>
  </w:style>
  <w:style w:type="paragraph" w:customStyle="1" w:styleId="35">
    <w:name w:val="正文缩进1"/>
    <w:basedOn w:val="1"/>
    <w:qFormat/>
    <w:uiPriority w:val="0"/>
    <w:pPr>
      <w:ind w:firstLine="420" w:firstLineChars="200"/>
    </w:pPr>
    <w:rPr>
      <w:rFonts w:ascii="Times New Roman" w:hAnsi="Times New Roman" w:eastAsia="方正仿宋_GBK" w:cs="Times New Roman"/>
      <w:sz w:val="32"/>
      <w:szCs w:val="20"/>
    </w:rPr>
  </w:style>
  <w:style w:type="character" w:customStyle="1" w:styleId="36">
    <w:name w:val="批注框文本 字符"/>
    <w:basedOn w:val="17"/>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4499</Words>
  <Characters>5098</Characters>
  <Lines>59</Lines>
  <Paragraphs>16</Paragraphs>
  <TotalTime>3</TotalTime>
  <ScaleCrop>false</ScaleCrop>
  <LinksUpToDate>false</LinksUpToDate>
  <CharactersWithSpaces>5407</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2023-04-17T00:16:00Z</dcterms:created>
  <dc:creator>Microsoft Office User</dc:creator>
  <cp:lastModifiedBy>唱梦</cp:lastModifiedBy>
  <cp:lastPrinted>2023-01-06T02:26:00Z</cp:lastPrinted>
  <dcterms:modified xsi:type="dcterms:W3CDTF">2023-04-24T06:29:22Z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C905A27CEDF1487BBE3656E21CAABA07</vt:lpwstr>
  </property>
</Properties>
</file>