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spacing w:line="600" w:lineRule="auto"/>
        <w:ind w:left="-339" w:leftChars="-162" w:right="-424" w:rightChars="-202" w:hanging="1"/>
        <w:jc w:val="center"/>
        <w:rPr>
          <w:rFonts w:ascii="黑体" w:hAnsi="黑体" w:eastAsia="黑体" w:cs="Times New Roman"/>
          <w:sz w:val="52"/>
          <w:szCs w:val="52"/>
          <w:highlight w:val="none"/>
        </w:rPr>
      </w:pPr>
      <w:r>
        <w:rPr>
          <w:rFonts w:hint="eastAsia" w:ascii="黑体" w:hAnsi="黑体" w:eastAsia="黑体" w:cs="Times New Roman"/>
          <w:sz w:val="52"/>
          <w:szCs w:val="52"/>
          <w:highlight w:val="none"/>
        </w:rPr>
        <w:t>电力企业政企网格“共建共治共享”融合服务规范</w:t>
      </w:r>
    </w:p>
    <w:p>
      <w:pPr>
        <w:bidi/>
        <w:spacing w:line="600" w:lineRule="auto"/>
        <w:jc w:val="center"/>
        <w:rPr>
          <w:rFonts w:ascii="黑体" w:hAnsi="黑体" w:eastAsia="黑体" w:cs="Times New Roman"/>
          <w:sz w:val="32"/>
          <w:szCs w:val="32"/>
          <w:highlight w:val="none"/>
        </w:rPr>
      </w:pPr>
      <w:r>
        <w:rPr>
          <w:rFonts w:hint="eastAsia" w:ascii="黑体" w:hAnsi="黑体" w:eastAsia="黑体" w:cs="Times New Roman"/>
          <w:sz w:val="32"/>
          <w:szCs w:val="32"/>
          <w:highlight w:val="none"/>
        </w:rPr>
        <w:t>编  制  说  明</w:t>
      </w:r>
    </w:p>
    <w:p>
      <w:pPr>
        <w:widowControl/>
        <w:jc w:val="center"/>
        <w:rPr>
          <w:rFonts w:hint="eastAsia" w:ascii="等线" w:hAnsi="等线" w:eastAsia="等线" w:cs="Times New Roman"/>
          <w:highlight w:val="none"/>
          <w:lang w:val="en-US" w:eastAsia="zh-CN"/>
        </w:rPr>
      </w:pPr>
      <w:r>
        <w:rPr>
          <w:rFonts w:hint="eastAsia" w:ascii="等线" w:hAnsi="等线" w:eastAsia="等线" w:cs="Times New Roman"/>
          <w:highlight w:val="none"/>
          <w:lang w:eastAsia="zh-CN"/>
        </w:rPr>
        <w:t>（</w:t>
      </w:r>
      <w:r>
        <w:rPr>
          <w:rFonts w:hint="eastAsia" w:ascii="等线" w:hAnsi="等线" w:eastAsia="等线" w:cs="Times New Roman"/>
          <w:highlight w:val="none"/>
          <w:lang w:val="en-US" w:eastAsia="zh-CN"/>
        </w:rPr>
        <w:t>征求意见稿）</w:t>
      </w:r>
    </w:p>
    <w:p>
      <w:pPr>
        <w:widowControl/>
        <w:jc w:val="center"/>
        <w:rPr>
          <w:rFonts w:ascii="等线" w:hAnsi="等线" w:eastAsia="等线" w:cs="Times New Roman"/>
          <w:highlight w:val="none"/>
        </w:rPr>
      </w:pPr>
      <w:r>
        <w:rPr>
          <w:rFonts w:ascii="等线" w:hAnsi="等线" w:eastAsia="等线" w:cs="Times New Roman"/>
          <w:highlight w:val="none"/>
        </w:rPr>
        <w:br w:type="page"/>
      </w:r>
    </w:p>
    <w:p>
      <w:pPr>
        <w:widowControl/>
        <w:jc w:val="center"/>
        <w:rPr>
          <w:rFonts w:ascii="黑体" w:hAnsi="黑体" w:eastAsia="黑体" w:cs="Times New Roman"/>
          <w:sz w:val="32"/>
          <w:szCs w:val="32"/>
          <w:highlight w:val="none"/>
        </w:rPr>
      </w:pPr>
      <w:r>
        <w:rPr>
          <w:rFonts w:ascii="黑体" w:hAnsi="黑体" w:eastAsia="黑体" w:cs="Times New Roman"/>
          <w:sz w:val="32"/>
          <w:szCs w:val="32"/>
          <w:highlight w:val="none"/>
        </w:rPr>
        <w:t>目    次</w:t>
      </w:r>
    </w:p>
    <w:p>
      <w:pPr>
        <w:spacing w:before="156" w:beforeLines="50" w:after="156" w:afterLines="50"/>
        <w:jc w:val="left"/>
        <w:rPr>
          <w:rFonts w:ascii="黑体" w:hAnsi="黑体" w:eastAsia="黑体" w:cs="Times New Roman"/>
          <w:highlight w:val="none"/>
        </w:rPr>
      </w:pPr>
      <w:r>
        <w:rPr>
          <w:rFonts w:hint="eastAsia" w:ascii="黑体" w:hAnsi="黑体" w:eastAsia="黑体" w:cs="Times New Roman"/>
          <w:highlight w:val="none"/>
        </w:rPr>
        <w:t>1</w:t>
      </w:r>
      <w:r>
        <w:rPr>
          <w:rFonts w:ascii="黑体" w:hAnsi="黑体" w:eastAsia="黑体" w:cs="Times New Roman"/>
          <w:highlight w:val="none"/>
        </w:rPr>
        <w:t xml:space="preserve">  编制背景</w:t>
      </w:r>
      <w:r>
        <w:rPr>
          <w:rFonts w:hint="eastAsia" w:ascii="等线" w:hAnsi="等线" w:eastAsia="黑体" w:cs="Times New Roman"/>
          <w:highlight w:val="none"/>
        </w:rPr>
        <w:t>……………………………………………………………………………………</w:t>
      </w:r>
      <w:r>
        <w:rPr>
          <w:rFonts w:ascii="等线" w:hAnsi="等线" w:eastAsia="黑体" w:cs="Times New Roman"/>
          <w:highlight w:val="none"/>
        </w:rPr>
        <w:t>9</w:t>
      </w:r>
    </w:p>
    <w:p>
      <w:pPr>
        <w:spacing w:before="156" w:beforeLines="50" w:after="156" w:afterLines="50"/>
        <w:jc w:val="left"/>
        <w:rPr>
          <w:rFonts w:ascii="黑体" w:hAnsi="黑体" w:eastAsia="黑体" w:cs="Times New Roman"/>
          <w:highlight w:val="none"/>
        </w:rPr>
      </w:pPr>
      <w:r>
        <w:rPr>
          <w:rFonts w:hint="eastAsia" w:ascii="黑体" w:hAnsi="黑体" w:eastAsia="黑体" w:cs="Times New Roman"/>
          <w:highlight w:val="none"/>
        </w:rPr>
        <w:t>2</w:t>
      </w:r>
      <w:r>
        <w:rPr>
          <w:rFonts w:ascii="黑体" w:hAnsi="黑体" w:eastAsia="黑体" w:cs="Times New Roman"/>
          <w:highlight w:val="none"/>
        </w:rPr>
        <w:t xml:space="preserve">  </w:t>
      </w:r>
      <w:r>
        <w:rPr>
          <w:rFonts w:hint="eastAsia" w:ascii="黑体" w:hAnsi="黑体" w:eastAsia="黑体" w:cs="Times New Roman"/>
          <w:szCs w:val="21"/>
          <w:highlight w:val="none"/>
        </w:rPr>
        <w:t>编制主要原则</w:t>
      </w:r>
      <w:r>
        <w:rPr>
          <w:rFonts w:hint="eastAsia" w:ascii="等线" w:hAnsi="等线" w:eastAsia="黑体" w:cs="Times New Roman"/>
          <w:highlight w:val="none"/>
        </w:rPr>
        <w:t>………………………………………………………………………………</w:t>
      </w:r>
      <w:r>
        <w:rPr>
          <w:rFonts w:ascii="等线" w:hAnsi="等线" w:eastAsia="黑体" w:cs="Times New Roman"/>
          <w:highlight w:val="none"/>
        </w:rPr>
        <w:t>9</w:t>
      </w:r>
    </w:p>
    <w:p>
      <w:pPr>
        <w:spacing w:before="156" w:beforeLines="50" w:after="156" w:afterLines="50"/>
        <w:jc w:val="left"/>
        <w:rPr>
          <w:rFonts w:ascii="黑体" w:hAnsi="黑体" w:eastAsia="黑体" w:cs="Times New Roman"/>
          <w:highlight w:val="none"/>
        </w:rPr>
      </w:pPr>
      <w:r>
        <w:rPr>
          <w:rFonts w:ascii="黑体" w:hAnsi="黑体" w:eastAsia="黑体" w:cs="Times New Roman"/>
          <w:highlight w:val="none"/>
        </w:rPr>
        <w:t xml:space="preserve">3  </w:t>
      </w:r>
      <w:r>
        <w:rPr>
          <w:rFonts w:hint="eastAsia" w:ascii="黑体" w:hAnsi="黑体" w:eastAsia="黑体" w:cs="Times New Roman"/>
          <w:szCs w:val="21"/>
          <w:highlight w:val="none"/>
        </w:rPr>
        <w:t>与其他标准文件的关系</w:t>
      </w:r>
      <w:r>
        <w:rPr>
          <w:rFonts w:hint="eastAsia" w:ascii="等线" w:hAnsi="等线" w:eastAsia="黑体" w:cs="Times New Roman"/>
          <w:highlight w:val="none"/>
        </w:rPr>
        <w:t>……………………………………………………………………</w:t>
      </w:r>
      <w:r>
        <w:rPr>
          <w:rFonts w:ascii="等线" w:hAnsi="等线" w:eastAsia="黑体" w:cs="Times New Roman"/>
          <w:highlight w:val="none"/>
        </w:rPr>
        <w:t>9</w:t>
      </w:r>
    </w:p>
    <w:p>
      <w:pPr>
        <w:spacing w:before="156" w:beforeLines="50" w:after="156" w:afterLines="50"/>
        <w:jc w:val="left"/>
        <w:rPr>
          <w:rFonts w:ascii="黑体" w:hAnsi="黑体" w:eastAsia="黑体" w:cs="Times New Roman"/>
          <w:highlight w:val="none"/>
        </w:rPr>
      </w:pPr>
      <w:r>
        <w:rPr>
          <w:rFonts w:hint="eastAsia" w:ascii="黑体" w:hAnsi="黑体" w:eastAsia="黑体" w:cs="Times New Roman"/>
          <w:highlight w:val="none"/>
        </w:rPr>
        <w:t>4</w:t>
      </w:r>
      <w:r>
        <w:rPr>
          <w:rFonts w:ascii="黑体" w:hAnsi="黑体" w:eastAsia="黑体" w:cs="Times New Roman"/>
          <w:highlight w:val="none"/>
        </w:rPr>
        <w:t xml:space="preserve">  </w:t>
      </w:r>
      <w:r>
        <w:rPr>
          <w:rFonts w:hint="eastAsia" w:ascii="黑体" w:hAnsi="黑体" w:eastAsia="黑体" w:cs="Times New Roman"/>
          <w:szCs w:val="21"/>
          <w:highlight w:val="none"/>
        </w:rPr>
        <w:t>主要工作过程</w:t>
      </w:r>
      <w:r>
        <w:rPr>
          <w:rFonts w:hint="eastAsia" w:ascii="等线" w:hAnsi="等线" w:eastAsia="黑体" w:cs="Times New Roman"/>
          <w:highlight w:val="none"/>
        </w:rPr>
        <w:t>………………………………………………………………………………1</w:t>
      </w:r>
      <w:r>
        <w:rPr>
          <w:rFonts w:ascii="等线" w:hAnsi="等线" w:eastAsia="黑体" w:cs="Times New Roman"/>
          <w:highlight w:val="none"/>
        </w:rPr>
        <w:t>0</w:t>
      </w:r>
    </w:p>
    <w:p>
      <w:pPr>
        <w:spacing w:before="156" w:beforeLines="50" w:after="156" w:afterLines="50"/>
        <w:jc w:val="left"/>
        <w:rPr>
          <w:rFonts w:ascii="黑体" w:hAnsi="黑体" w:eastAsia="黑体" w:cs="Times New Roman"/>
          <w:highlight w:val="none"/>
        </w:rPr>
      </w:pPr>
      <w:r>
        <w:rPr>
          <w:rFonts w:hint="eastAsia" w:ascii="黑体" w:hAnsi="黑体" w:eastAsia="黑体" w:cs="Times New Roman"/>
          <w:highlight w:val="none"/>
        </w:rPr>
        <w:t>5</w:t>
      </w:r>
      <w:r>
        <w:rPr>
          <w:rFonts w:ascii="黑体" w:hAnsi="黑体" w:eastAsia="黑体" w:cs="Times New Roman"/>
          <w:highlight w:val="none"/>
        </w:rPr>
        <w:t xml:space="preserve">  </w:t>
      </w:r>
      <w:r>
        <w:rPr>
          <w:rFonts w:hint="eastAsia" w:ascii="黑体" w:hAnsi="黑体" w:eastAsia="黑体" w:cs="Times New Roman"/>
          <w:szCs w:val="21"/>
          <w:highlight w:val="none"/>
        </w:rPr>
        <w:t>标准的结构和内容</w:t>
      </w:r>
      <w:r>
        <w:rPr>
          <w:rFonts w:hint="eastAsia" w:ascii="等线" w:hAnsi="等线" w:eastAsia="黑体" w:cs="Times New Roman"/>
          <w:highlight w:val="none"/>
        </w:rPr>
        <w:t>…………………………………………………………………………1</w:t>
      </w:r>
      <w:r>
        <w:rPr>
          <w:rFonts w:ascii="等线" w:hAnsi="等线" w:eastAsia="黑体" w:cs="Times New Roman"/>
          <w:highlight w:val="none"/>
        </w:rPr>
        <w:t>0</w:t>
      </w:r>
    </w:p>
    <w:p>
      <w:pPr>
        <w:spacing w:before="156" w:beforeLines="50" w:after="156" w:afterLines="50"/>
        <w:rPr>
          <w:rFonts w:ascii="黑体" w:hAnsi="黑体" w:eastAsia="黑体" w:cs="Times New Roman"/>
          <w:highlight w:val="none"/>
        </w:rPr>
      </w:pPr>
      <w:bookmarkStart w:id="28" w:name="_GoBack"/>
      <w:bookmarkEnd w:id="28"/>
    </w:p>
    <w:p>
      <w:pPr>
        <w:widowControl/>
        <w:jc w:val="left"/>
        <w:rPr>
          <w:rFonts w:ascii="黑体" w:hAnsi="黑体" w:eastAsia="黑体" w:cs="Times New Roman"/>
          <w:highlight w:val="none"/>
        </w:rPr>
      </w:pPr>
      <w:r>
        <w:rPr>
          <w:rFonts w:ascii="黑体" w:hAnsi="黑体" w:eastAsia="黑体" w:cs="Times New Roman"/>
          <w:highlight w:val="none"/>
        </w:rPr>
        <w:br w:type="page"/>
      </w:r>
    </w:p>
    <w:p>
      <w:pPr>
        <w:keepNext/>
        <w:keepLines/>
        <w:widowControl w:val="0"/>
        <w:spacing w:before="340" w:after="330" w:line="578" w:lineRule="auto"/>
        <w:jc w:val="both"/>
        <w:outlineLvl w:val="0"/>
        <w:rPr>
          <w:rFonts w:ascii="黑体" w:hAnsi="黑体" w:eastAsia="黑体" w:cs="Times New Roman"/>
          <w:b w:val="0"/>
          <w:bCs w:val="0"/>
          <w:kern w:val="44"/>
          <w:sz w:val="21"/>
          <w:szCs w:val="21"/>
          <w:highlight w:val="none"/>
          <w:lang w:val="en-US" w:eastAsia="zh-CN" w:bidi="ar-SA"/>
        </w:rPr>
      </w:pPr>
      <w:bookmarkStart w:id="0" w:name="_Toc6340"/>
      <w:bookmarkStart w:id="1" w:name="_Toc9264"/>
      <w:bookmarkStart w:id="2" w:name="_Toc132559301"/>
      <w:bookmarkStart w:id="3" w:name="_Toc7663"/>
      <w:r>
        <w:rPr>
          <w:rFonts w:ascii="黑体" w:hAnsi="黑体" w:eastAsia="黑体" w:cs="Times New Roman"/>
          <w:b w:val="0"/>
          <w:bCs w:val="0"/>
          <w:kern w:val="44"/>
          <w:sz w:val="21"/>
          <w:szCs w:val="21"/>
          <w:highlight w:val="none"/>
          <w:lang w:val="en-US" w:eastAsia="zh-CN" w:bidi="ar-SA"/>
        </w:rPr>
        <w:t xml:space="preserve">1  </w:t>
      </w:r>
      <w:r>
        <w:rPr>
          <w:rFonts w:hint="eastAsia" w:ascii="黑体" w:hAnsi="黑体" w:eastAsia="黑体" w:cs="Times New Roman"/>
          <w:b w:val="0"/>
          <w:bCs w:val="0"/>
          <w:kern w:val="44"/>
          <w:sz w:val="21"/>
          <w:szCs w:val="21"/>
          <w:highlight w:val="none"/>
          <w:lang w:val="en-US" w:eastAsia="zh-CN" w:bidi="ar-SA"/>
        </w:rPr>
        <w:t>编制背景</w:t>
      </w:r>
      <w:bookmarkEnd w:id="0"/>
      <w:bookmarkEnd w:id="1"/>
      <w:bookmarkEnd w:id="2"/>
      <w:bookmarkEnd w:id="3"/>
    </w:p>
    <w:p>
      <w:pPr>
        <w:widowControl/>
        <w:ind w:firstLine="420" w:firstLineChars="200"/>
        <w:jc w:val="left"/>
        <w:rPr>
          <w:rFonts w:ascii="宋体" w:hAnsi="宋体" w:eastAsia="宋体" w:cs="Times New Roman"/>
          <w:highlight w:val="none"/>
        </w:rPr>
      </w:pPr>
      <w:r>
        <w:rPr>
          <w:rFonts w:hint="eastAsia" w:ascii="宋体" w:hAnsi="宋体" w:eastAsia="宋体" w:cs="Times New Roman"/>
          <w:highlight w:val="none"/>
        </w:rPr>
        <w:t>电力是经济社会发展的重要保障，是实现人民美好生活的基础条件。为加强电力企业与政府机构的联动，通过政府网格向前延伸电力服务界面</w:t>
      </w:r>
      <w:r>
        <w:rPr>
          <w:rFonts w:ascii="宋体" w:hAnsi="宋体" w:eastAsia="宋体" w:cs="Times New Roman"/>
          <w:highlight w:val="none"/>
        </w:rPr>
        <w:t>，</w:t>
      </w:r>
      <w:r>
        <w:rPr>
          <w:rFonts w:hint="eastAsia" w:ascii="宋体" w:hAnsi="宋体" w:eastAsia="宋体" w:cs="Times New Roman"/>
          <w:highlight w:val="none"/>
        </w:rPr>
        <w:t>国网山东省电力公司及下属单位</w:t>
      </w:r>
      <w:r>
        <w:rPr>
          <w:rFonts w:ascii="宋体" w:hAnsi="宋体" w:eastAsia="宋体" w:cs="Times New Roman"/>
          <w:highlight w:val="none"/>
        </w:rPr>
        <w:t>组织开展</w:t>
      </w:r>
      <w:r>
        <w:rPr>
          <w:rFonts w:hint="eastAsia" w:ascii="宋体" w:hAnsi="宋体" w:eastAsia="宋体" w:cs="Times New Roman"/>
          <w:highlight w:val="none"/>
        </w:rPr>
        <w:t>了一系列围绕政企网格融合的服务</w:t>
      </w:r>
      <w:r>
        <w:rPr>
          <w:rFonts w:ascii="宋体" w:hAnsi="宋体" w:eastAsia="宋体" w:cs="Times New Roman"/>
          <w:highlight w:val="none"/>
        </w:rPr>
        <w:t>活动</w:t>
      </w:r>
      <w:r>
        <w:rPr>
          <w:rFonts w:hint="eastAsia" w:ascii="宋体" w:hAnsi="宋体" w:eastAsia="宋体" w:cs="Times New Roman"/>
          <w:highlight w:val="none"/>
        </w:rPr>
        <w:t>，赢得了各</w:t>
      </w:r>
      <w:r>
        <w:rPr>
          <w:rFonts w:ascii="宋体" w:hAnsi="宋体" w:eastAsia="宋体" w:cs="Times New Roman"/>
          <w:highlight w:val="none"/>
        </w:rPr>
        <w:t>级党委政府和广大</w:t>
      </w:r>
      <w:r>
        <w:rPr>
          <w:rFonts w:hint="eastAsia" w:ascii="宋体" w:hAnsi="宋体" w:eastAsia="宋体" w:cs="Times New Roman"/>
          <w:highlight w:val="none"/>
        </w:rPr>
        <w:t>电力用户</w:t>
      </w:r>
      <w:r>
        <w:rPr>
          <w:rFonts w:ascii="宋体" w:hAnsi="宋体" w:eastAsia="宋体" w:cs="Times New Roman"/>
          <w:highlight w:val="none"/>
        </w:rPr>
        <w:t>的高度认可</w:t>
      </w:r>
      <w:r>
        <w:rPr>
          <w:rFonts w:hint="eastAsia" w:ascii="宋体" w:hAnsi="宋体" w:eastAsia="宋体" w:cs="Times New Roman"/>
          <w:highlight w:val="none"/>
        </w:rPr>
        <w:t>。随着“双碳”目标深入推进、新型电力系统加快构建，电力供需紧平衡态势给电力供应与服务带来巨大挑战。</w:t>
      </w:r>
    </w:p>
    <w:p>
      <w:pPr>
        <w:widowControl/>
        <w:ind w:firstLine="420" w:firstLineChars="200"/>
        <w:jc w:val="left"/>
        <w:rPr>
          <w:rFonts w:ascii="宋体" w:hAnsi="宋体" w:eastAsia="宋体" w:cs="Times New Roman"/>
          <w:highlight w:val="none"/>
        </w:rPr>
      </w:pPr>
      <w:r>
        <w:rPr>
          <w:rFonts w:hint="eastAsia" w:ascii="宋体" w:hAnsi="宋体" w:eastAsia="宋体" w:cs="Times New Roman"/>
          <w:highlight w:val="none"/>
        </w:rPr>
        <w:t>当前，我国基层治理水平不断提升，政企联动合作模式不断完善。但政企网格融合工作作为基层网格化合作与区域治理水平提升的重要手段，现阶段还没有相应的标准规范可执行。</w:t>
      </w:r>
    </w:p>
    <w:p>
      <w:pPr>
        <w:widowControl/>
        <w:ind w:firstLine="420" w:firstLineChars="200"/>
        <w:jc w:val="left"/>
        <w:rPr>
          <w:rFonts w:ascii="宋体" w:hAnsi="宋体" w:eastAsia="宋体" w:cs="Times New Roman"/>
          <w:highlight w:val="none"/>
        </w:rPr>
      </w:pPr>
      <w:r>
        <w:rPr>
          <w:rFonts w:hint="eastAsia" w:ascii="宋体" w:hAnsi="宋体" w:eastAsia="宋体" w:cs="Times New Roman"/>
          <w:highlight w:val="none"/>
        </w:rPr>
        <w:t>为了指导电力企业高质量开展政企网格融合工作，保障政企网格融合服务质量，按照国家相关法规、行业标准要求、山东省电力行业团体标准管理要求，结合政企网格融合实际，制定本标准。</w:t>
      </w:r>
    </w:p>
    <w:p>
      <w:pPr>
        <w:keepNext/>
        <w:keepLines/>
        <w:widowControl w:val="0"/>
        <w:spacing w:before="340" w:after="330" w:line="578" w:lineRule="auto"/>
        <w:jc w:val="both"/>
        <w:outlineLvl w:val="0"/>
        <w:rPr>
          <w:rFonts w:ascii="黑体" w:hAnsi="黑体" w:eastAsia="黑体" w:cs="Times New Roman"/>
          <w:b w:val="0"/>
          <w:bCs w:val="0"/>
          <w:kern w:val="44"/>
          <w:sz w:val="21"/>
          <w:szCs w:val="21"/>
          <w:highlight w:val="none"/>
          <w:lang w:val="en-US" w:eastAsia="zh-CN" w:bidi="ar-SA"/>
        </w:rPr>
      </w:pPr>
      <w:bookmarkStart w:id="4" w:name="_Toc123727606"/>
      <w:bookmarkStart w:id="5" w:name="_Toc132559302"/>
      <w:bookmarkStart w:id="6" w:name="_Toc32464"/>
      <w:bookmarkStart w:id="7" w:name="_Toc11477"/>
      <w:bookmarkStart w:id="8" w:name="_Toc4935"/>
      <w:bookmarkStart w:id="9" w:name="_Toc129789553"/>
      <w:r>
        <w:rPr>
          <w:rFonts w:ascii="黑体" w:hAnsi="黑体" w:eastAsia="黑体" w:cs="Times New Roman"/>
          <w:b w:val="0"/>
          <w:bCs w:val="0"/>
          <w:kern w:val="44"/>
          <w:sz w:val="21"/>
          <w:szCs w:val="21"/>
          <w:highlight w:val="none"/>
          <w:lang w:val="en-US" w:eastAsia="zh-CN" w:bidi="ar-SA"/>
        </w:rPr>
        <w:t xml:space="preserve">2  </w:t>
      </w:r>
      <w:r>
        <w:rPr>
          <w:rFonts w:hint="eastAsia" w:ascii="黑体" w:hAnsi="黑体" w:eastAsia="黑体" w:cs="Times New Roman"/>
          <w:b w:val="0"/>
          <w:bCs w:val="0"/>
          <w:kern w:val="44"/>
          <w:sz w:val="21"/>
          <w:szCs w:val="21"/>
          <w:highlight w:val="none"/>
          <w:lang w:val="en-US" w:eastAsia="zh-CN" w:bidi="ar-SA"/>
        </w:rPr>
        <w:t>编制主要原则</w:t>
      </w:r>
      <w:bookmarkEnd w:id="4"/>
      <w:bookmarkEnd w:id="5"/>
      <w:bookmarkEnd w:id="6"/>
      <w:bookmarkEnd w:id="7"/>
      <w:bookmarkEnd w:id="8"/>
      <w:bookmarkEnd w:id="9"/>
    </w:p>
    <w:p>
      <w:pPr>
        <w:widowControl/>
        <w:ind w:firstLine="420" w:firstLineChars="200"/>
        <w:jc w:val="left"/>
        <w:rPr>
          <w:rFonts w:ascii="宋体" w:hAnsi="宋体" w:eastAsia="宋体" w:cs="Times New Roman"/>
          <w:highlight w:val="none"/>
        </w:rPr>
      </w:pPr>
      <w:r>
        <w:rPr>
          <w:rFonts w:ascii="宋体" w:hAnsi="宋体" w:eastAsia="宋体" w:cs="Times New Roman"/>
          <w:highlight w:val="none"/>
        </w:rPr>
        <w:t>本标准按以下原则</w:t>
      </w:r>
      <w:r>
        <w:rPr>
          <w:rFonts w:hint="eastAsia" w:ascii="宋体" w:hAnsi="宋体" w:eastAsia="宋体" w:cs="Times New Roman"/>
          <w:highlight w:val="none"/>
        </w:rPr>
        <w:t>编制</w:t>
      </w:r>
      <w:r>
        <w:rPr>
          <w:rFonts w:ascii="宋体" w:hAnsi="宋体" w:eastAsia="宋体" w:cs="Times New Roman"/>
          <w:highlight w:val="none"/>
        </w:rPr>
        <w:t>：</w:t>
      </w:r>
    </w:p>
    <w:p>
      <w:pPr>
        <w:widowControl/>
        <w:ind w:firstLine="420" w:firstLineChars="200"/>
        <w:jc w:val="left"/>
        <w:rPr>
          <w:rFonts w:ascii="宋体" w:hAnsi="宋体" w:eastAsia="宋体" w:cs="Times New Roman"/>
          <w:highlight w:val="none"/>
        </w:rPr>
      </w:pPr>
      <w:r>
        <w:rPr>
          <w:rFonts w:hint="eastAsia" w:ascii="宋体" w:hAnsi="宋体" w:eastAsia="宋体" w:cs="Times New Roman"/>
          <w:highlight w:val="none"/>
        </w:rPr>
        <w:t>a</w:t>
      </w:r>
      <w:r>
        <w:rPr>
          <w:rFonts w:ascii="宋体" w:hAnsi="宋体" w:eastAsia="宋体" w:cs="Times New Roman"/>
          <w:highlight w:val="none"/>
        </w:rPr>
        <w:t>）坚持</w:t>
      </w:r>
      <w:r>
        <w:rPr>
          <w:rFonts w:hint="eastAsia" w:ascii="宋体" w:hAnsi="宋体" w:eastAsia="宋体" w:cs="Times New Roman"/>
          <w:highlight w:val="none"/>
        </w:rPr>
        <w:t>结果导向</w:t>
      </w:r>
      <w:r>
        <w:rPr>
          <w:rFonts w:ascii="宋体" w:hAnsi="宋体" w:eastAsia="宋体" w:cs="Times New Roman"/>
          <w:highlight w:val="none"/>
        </w:rPr>
        <w:t>原则：</w:t>
      </w:r>
      <w:r>
        <w:rPr>
          <w:rFonts w:hint="eastAsia" w:ascii="宋体" w:hAnsi="宋体" w:eastAsia="宋体" w:cs="Times New Roman"/>
          <w:highlight w:val="none"/>
        </w:rPr>
        <w:t>贴近电力用户，指导各级电力企业以标准化促进政企网格融合工作的开展</w:t>
      </w:r>
      <w:r>
        <w:rPr>
          <w:rFonts w:ascii="宋体" w:hAnsi="宋体" w:eastAsia="宋体" w:cs="Times New Roman"/>
          <w:highlight w:val="none"/>
        </w:rPr>
        <w:t>；</w:t>
      </w:r>
    </w:p>
    <w:p>
      <w:pPr>
        <w:widowControl/>
        <w:ind w:firstLine="420" w:firstLineChars="200"/>
        <w:jc w:val="left"/>
        <w:rPr>
          <w:rFonts w:ascii="宋体" w:hAnsi="宋体" w:eastAsia="宋体" w:cs="Times New Roman"/>
          <w:highlight w:val="none"/>
        </w:rPr>
      </w:pPr>
      <w:r>
        <w:rPr>
          <w:rFonts w:hint="eastAsia" w:ascii="宋体" w:hAnsi="宋体" w:eastAsia="宋体" w:cs="Times New Roman"/>
          <w:highlight w:val="none"/>
        </w:rPr>
        <w:t>b</w:t>
      </w:r>
      <w:r>
        <w:rPr>
          <w:rFonts w:ascii="宋体" w:hAnsi="宋体" w:eastAsia="宋体" w:cs="Times New Roman"/>
          <w:highlight w:val="none"/>
        </w:rPr>
        <w:t>）坚持适用性原则：严格遵照国家有关规定，充分考虑</w:t>
      </w:r>
      <w:r>
        <w:rPr>
          <w:rFonts w:hint="eastAsia" w:ascii="宋体" w:hAnsi="宋体" w:eastAsia="宋体" w:cs="Times New Roman"/>
          <w:highlight w:val="none"/>
        </w:rPr>
        <w:t>区域内取得电力业务许可证（供电类）的供电服务机构</w:t>
      </w:r>
      <w:r>
        <w:rPr>
          <w:rFonts w:ascii="宋体" w:hAnsi="宋体" w:eastAsia="宋体" w:cs="Times New Roman"/>
          <w:highlight w:val="none"/>
        </w:rPr>
        <w:t>服务管理水平现状及差异，制定普遍适用的</w:t>
      </w:r>
      <w:r>
        <w:rPr>
          <w:rFonts w:hint="eastAsia" w:ascii="宋体" w:hAnsi="宋体" w:eastAsia="宋体" w:cs="Times New Roman"/>
          <w:highlight w:val="none"/>
        </w:rPr>
        <w:t>电力政企网格融合工作</w:t>
      </w:r>
      <w:r>
        <w:rPr>
          <w:rFonts w:ascii="宋体" w:hAnsi="宋体" w:eastAsia="宋体" w:cs="Times New Roman"/>
          <w:highlight w:val="none"/>
        </w:rPr>
        <w:t>标准；</w:t>
      </w:r>
    </w:p>
    <w:p>
      <w:pPr>
        <w:keepNext/>
        <w:keepLines/>
        <w:widowControl w:val="0"/>
        <w:spacing w:before="340" w:after="330" w:line="578" w:lineRule="auto"/>
        <w:jc w:val="both"/>
        <w:outlineLvl w:val="0"/>
        <w:rPr>
          <w:rFonts w:ascii="黑体" w:hAnsi="黑体" w:eastAsia="黑体" w:cs="Times New Roman"/>
          <w:b w:val="0"/>
          <w:bCs w:val="0"/>
          <w:kern w:val="44"/>
          <w:sz w:val="21"/>
          <w:szCs w:val="21"/>
          <w:highlight w:val="none"/>
          <w:lang w:val="en-US" w:eastAsia="zh-CN" w:bidi="ar-SA"/>
        </w:rPr>
      </w:pPr>
      <w:bookmarkStart w:id="10" w:name="_Toc123727607"/>
      <w:bookmarkStart w:id="11" w:name="_Toc26414"/>
      <w:bookmarkStart w:id="12" w:name="_Toc132559303"/>
      <w:bookmarkStart w:id="13" w:name="_Toc129789554"/>
      <w:bookmarkStart w:id="14" w:name="_Toc17701"/>
      <w:bookmarkStart w:id="15" w:name="_Toc20210"/>
      <w:r>
        <w:rPr>
          <w:rFonts w:ascii="黑体" w:hAnsi="黑体" w:eastAsia="黑体" w:cs="Times New Roman"/>
          <w:b w:val="0"/>
          <w:bCs w:val="0"/>
          <w:kern w:val="44"/>
          <w:sz w:val="21"/>
          <w:szCs w:val="21"/>
          <w:highlight w:val="none"/>
          <w:lang w:val="en-US" w:eastAsia="zh-CN" w:bidi="ar-SA"/>
        </w:rPr>
        <w:t xml:space="preserve">3  </w:t>
      </w:r>
      <w:r>
        <w:rPr>
          <w:rFonts w:hint="eastAsia" w:ascii="黑体" w:hAnsi="黑体" w:eastAsia="黑体" w:cs="Times New Roman"/>
          <w:b w:val="0"/>
          <w:bCs w:val="0"/>
          <w:kern w:val="44"/>
          <w:sz w:val="21"/>
          <w:szCs w:val="21"/>
          <w:highlight w:val="none"/>
          <w:lang w:val="en-US" w:eastAsia="zh-CN" w:bidi="ar-SA"/>
        </w:rPr>
        <w:t>与其他标准文件的关系</w:t>
      </w:r>
      <w:bookmarkEnd w:id="10"/>
      <w:bookmarkEnd w:id="11"/>
      <w:bookmarkEnd w:id="12"/>
      <w:bookmarkEnd w:id="13"/>
      <w:bookmarkEnd w:id="14"/>
      <w:bookmarkEnd w:id="15"/>
    </w:p>
    <w:p>
      <w:pPr>
        <w:widowControl/>
        <w:ind w:firstLine="420" w:firstLineChars="200"/>
        <w:jc w:val="left"/>
        <w:rPr>
          <w:rFonts w:ascii="宋体" w:hAnsi="宋体" w:eastAsia="宋体" w:cs="Times New Roman"/>
          <w:color w:val="000000"/>
          <w:szCs w:val="21"/>
          <w:highlight w:val="none"/>
        </w:rPr>
      </w:pPr>
      <w:r>
        <w:rPr>
          <w:rFonts w:ascii="宋体" w:hAnsi="宋体" w:eastAsia="宋体" w:cs="Times New Roman"/>
          <w:color w:val="000000"/>
          <w:szCs w:val="21"/>
          <w:highlight w:val="none"/>
        </w:rPr>
        <w:t>本标准与相关技术领域的国家现行法律、法规和政策保持一致。本标准不涉及</w:t>
      </w:r>
      <w:r>
        <w:rPr>
          <w:rFonts w:hint="eastAsia" w:ascii="宋体" w:hAnsi="宋体" w:eastAsia="宋体" w:cs="Times New Roman"/>
          <w:color w:val="000000"/>
          <w:szCs w:val="21"/>
          <w:highlight w:val="none"/>
        </w:rPr>
        <w:t>相关知识产权</w:t>
      </w:r>
      <w:r>
        <w:rPr>
          <w:rFonts w:ascii="宋体" w:hAnsi="宋体" w:eastAsia="宋体" w:cs="Times New Roman"/>
          <w:color w:val="000000"/>
          <w:szCs w:val="21"/>
          <w:highlight w:val="none"/>
        </w:rPr>
        <w:t>，不存在知识产权规避或保护的情况。本标准的制定过程主要依据和参考如下文件：</w:t>
      </w:r>
    </w:p>
    <w:p>
      <w:pPr>
        <w:widowControl/>
        <w:ind w:firstLine="420" w:firstLineChars="200"/>
        <w:jc w:val="left"/>
        <w:rPr>
          <w:rFonts w:ascii="宋体" w:hAnsi="宋体" w:eastAsia="宋体" w:cs="Times New Roman"/>
          <w:color w:val="000000"/>
          <w:szCs w:val="21"/>
          <w:highlight w:val="none"/>
        </w:rPr>
      </w:pPr>
      <w:r>
        <w:rPr>
          <w:rFonts w:ascii="宋体" w:hAnsi="宋体" w:eastAsia="宋体" w:cs="Times New Roman"/>
          <w:color w:val="000000"/>
          <w:szCs w:val="21"/>
          <w:highlight w:val="none"/>
        </w:rPr>
        <w:t>GB/T 1.1 标准化工作导则</w:t>
      </w:r>
    </w:p>
    <w:p>
      <w:pPr>
        <w:widowControl/>
        <w:ind w:firstLine="420" w:firstLineChars="200"/>
        <w:jc w:val="left"/>
        <w:rPr>
          <w:rFonts w:ascii="宋体" w:hAnsi="宋体" w:eastAsia="宋体" w:cs="Times New Roman"/>
          <w:color w:val="000000"/>
          <w:szCs w:val="21"/>
          <w:highlight w:val="none"/>
        </w:rPr>
      </w:pPr>
      <w:r>
        <w:rPr>
          <w:rFonts w:ascii="宋体" w:hAnsi="宋体" w:eastAsia="宋体" w:cs="Times New Roman"/>
          <w:color w:val="000000"/>
          <w:szCs w:val="21"/>
          <w:highlight w:val="none"/>
        </w:rPr>
        <w:t>GB/T 20000.1 标准化工作指南</w:t>
      </w:r>
    </w:p>
    <w:p>
      <w:pPr>
        <w:widowControl/>
        <w:ind w:firstLine="420" w:firstLineChars="200"/>
        <w:jc w:val="left"/>
        <w:rPr>
          <w:rFonts w:ascii="宋体" w:hAnsi="宋体" w:eastAsia="宋体" w:cs="Times New Roman"/>
          <w:color w:val="000000"/>
          <w:szCs w:val="21"/>
          <w:highlight w:val="none"/>
        </w:rPr>
      </w:pPr>
      <w:r>
        <w:rPr>
          <w:rFonts w:ascii="宋体" w:hAnsi="宋体" w:eastAsia="宋体" w:cs="Times New Roman"/>
          <w:color w:val="000000"/>
          <w:szCs w:val="21"/>
          <w:highlight w:val="none"/>
        </w:rPr>
        <w:t>GB/T 28583 供电服务规范</w:t>
      </w:r>
    </w:p>
    <w:p>
      <w:pPr>
        <w:widowControl/>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D</w:t>
      </w:r>
      <w:r>
        <w:rPr>
          <w:rFonts w:ascii="宋体" w:hAnsi="宋体" w:eastAsia="宋体" w:cs="Times New Roman"/>
          <w:color w:val="000000"/>
          <w:szCs w:val="21"/>
          <w:highlight w:val="none"/>
        </w:rPr>
        <w:t xml:space="preserve">L/T 2046-2019 </w:t>
      </w:r>
      <w:r>
        <w:rPr>
          <w:rFonts w:hint="eastAsia" w:ascii="宋体" w:hAnsi="宋体" w:eastAsia="宋体" w:cs="Times New Roman"/>
          <w:color w:val="000000"/>
          <w:szCs w:val="21"/>
          <w:highlight w:val="none"/>
        </w:rPr>
        <w:t>供电服务热线客户服务规范</w:t>
      </w:r>
    </w:p>
    <w:p>
      <w:pPr>
        <w:widowControl/>
        <w:ind w:firstLine="420" w:firstLineChars="200"/>
        <w:jc w:val="left"/>
        <w:rPr>
          <w:rFonts w:ascii="宋体" w:hAnsi="宋体" w:eastAsia="宋体" w:cs="Times New Roman"/>
          <w:color w:val="000000"/>
          <w:szCs w:val="21"/>
          <w:highlight w:val="none"/>
        </w:rPr>
      </w:pPr>
      <w:r>
        <w:rPr>
          <w:rFonts w:ascii="宋体" w:hAnsi="宋体" w:eastAsia="宋体" w:cs="Times New Roman"/>
          <w:color w:val="000000"/>
          <w:szCs w:val="21"/>
          <w:highlight w:val="none"/>
        </w:rPr>
        <w:t xml:space="preserve">XX/X XXXX-XXXX </w:t>
      </w:r>
      <w:r>
        <w:rPr>
          <w:rFonts w:hint="eastAsia" w:ascii="宋体" w:hAnsi="宋体" w:eastAsia="宋体" w:cs="Times New Roman"/>
          <w:color w:val="000000"/>
          <w:szCs w:val="21"/>
          <w:highlight w:val="none"/>
        </w:rPr>
        <w:t>电力企业客户走访规范</w:t>
      </w:r>
    </w:p>
    <w:p>
      <w:pPr>
        <w:keepNext/>
        <w:keepLines/>
        <w:widowControl w:val="0"/>
        <w:spacing w:before="340" w:after="330" w:line="578" w:lineRule="auto"/>
        <w:jc w:val="both"/>
        <w:outlineLvl w:val="0"/>
        <w:rPr>
          <w:rFonts w:ascii="黑体" w:hAnsi="黑体" w:eastAsia="黑体" w:cs="Times New Roman"/>
          <w:b w:val="0"/>
          <w:bCs w:val="0"/>
          <w:kern w:val="44"/>
          <w:sz w:val="21"/>
          <w:szCs w:val="21"/>
          <w:highlight w:val="none"/>
          <w:lang w:val="en-US" w:eastAsia="zh-CN" w:bidi="ar-SA"/>
        </w:rPr>
      </w:pPr>
      <w:bookmarkStart w:id="16" w:name="_Toc123727608"/>
      <w:bookmarkStart w:id="17" w:name="_Toc132559304"/>
      <w:bookmarkStart w:id="18" w:name="_Toc22444"/>
      <w:bookmarkStart w:id="19" w:name="_Toc129789555"/>
      <w:bookmarkStart w:id="20" w:name="_Toc27688"/>
      <w:bookmarkStart w:id="21" w:name="_Toc8412"/>
      <w:r>
        <w:rPr>
          <w:rFonts w:ascii="黑体" w:hAnsi="黑体" w:eastAsia="黑体" w:cs="Times New Roman"/>
          <w:b w:val="0"/>
          <w:bCs w:val="0"/>
          <w:kern w:val="44"/>
          <w:sz w:val="21"/>
          <w:szCs w:val="21"/>
          <w:highlight w:val="none"/>
          <w:lang w:val="en-US" w:eastAsia="zh-CN" w:bidi="ar-SA"/>
        </w:rPr>
        <w:t>4  主要工作过程</w:t>
      </w:r>
      <w:bookmarkEnd w:id="16"/>
      <w:bookmarkEnd w:id="17"/>
      <w:bookmarkEnd w:id="18"/>
      <w:bookmarkEnd w:id="19"/>
      <w:bookmarkEnd w:id="20"/>
      <w:bookmarkEnd w:id="21"/>
    </w:p>
    <w:p>
      <w:pPr>
        <w:widowControl/>
        <w:ind w:firstLine="420" w:firstLineChars="200"/>
        <w:jc w:val="left"/>
        <w:rPr>
          <w:rFonts w:ascii="宋体" w:hAnsi="宋体" w:eastAsia="宋体" w:cs="Times New Roman"/>
          <w:color w:val="000000"/>
          <w:szCs w:val="21"/>
          <w:highlight w:val="none"/>
        </w:rPr>
      </w:pPr>
      <w:r>
        <w:rPr>
          <w:rFonts w:ascii="宋体" w:hAnsi="宋体" w:eastAsia="宋体" w:cs="Times New Roman"/>
          <w:color w:val="000000"/>
          <w:szCs w:val="21"/>
          <w:highlight w:val="none"/>
        </w:rPr>
        <w:t>2023年3月，成立编写组，广泛调研、分工编写、征求意见、内部评审，编制形成</w:t>
      </w:r>
      <w:r>
        <w:rPr>
          <w:rFonts w:hint="eastAsia" w:ascii="宋体" w:hAnsi="宋体" w:eastAsia="宋体" w:cs="Times New Roman"/>
          <w:color w:val="000000"/>
          <w:szCs w:val="21"/>
          <w:highlight w:val="none"/>
        </w:rPr>
        <w:t>标准</w:t>
      </w:r>
      <w:r>
        <w:rPr>
          <w:rFonts w:ascii="宋体" w:hAnsi="宋体" w:eastAsia="宋体" w:cs="Times New Roman"/>
          <w:color w:val="000000"/>
          <w:szCs w:val="21"/>
          <w:highlight w:val="none"/>
        </w:rPr>
        <w:t>征求意见稿。</w:t>
      </w:r>
    </w:p>
    <w:p>
      <w:pPr>
        <w:widowControl/>
        <w:ind w:firstLine="420" w:firstLineChars="200"/>
        <w:jc w:val="left"/>
        <w:rPr>
          <w:rFonts w:ascii="宋体" w:hAnsi="宋体" w:eastAsia="宋体" w:cs="Times New Roman"/>
          <w:color w:val="000000"/>
          <w:szCs w:val="21"/>
          <w:highlight w:val="none"/>
        </w:rPr>
      </w:pPr>
      <w:r>
        <w:rPr>
          <w:rFonts w:ascii="宋体" w:hAnsi="宋体" w:eastAsia="宋体" w:cs="Times New Roman"/>
          <w:color w:val="000000"/>
          <w:szCs w:val="21"/>
          <w:highlight w:val="none"/>
        </w:rPr>
        <w:t>2023年X月，根据</w:t>
      </w:r>
      <w:r>
        <w:rPr>
          <w:rFonts w:hint="eastAsia" w:ascii="宋体" w:hAnsi="宋体" w:eastAsia="宋体" w:cs="Times New Roman"/>
          <w:color w:val="000000"/>
          <w:szCs w:val="21"/>
          <w:highlight w:val="none"/>
        </w:rPr>
        <w:t>山东省电力</w:t>
      </w:r>
      <w:r>
        <w:rPr>
          <w:rFonts w:hint="eastAsia" w:ascii="宋体" w:hAnsi="宋体" w:eastAsia="宋体" w:cs="Times New Roman"/>
          <w:color w:val="000000"/>
          <w:szCs w:val="21"/>
          <w:highlight w:val="none"/>
          <w:lang w:val="en-US" w:eastAsia="zh-CN"/>
        </w:rPr>
        <w:t>行</w:t>
      </w:r>
      <w:r>
        <w:rPr>
          <w:rFonts w:hint="eastAsia" w:ascii="宋体" w:hAnsi="宋体" w:eastAsia="宋体" w:cs="Times New Roman"/>
          <w:color w:val="000000"/>
          <w:szCs w:val="21"/>
          <w:highlight w:val="none"/>
        </w:rPr>
        <w:t>业协会</w:t>
      </w:r>
      <w:r>
        <w:rPr>
          <w:rFonts w:ascii="宋体" w:hAnsi="宋体" w:eastAsia="宋体" w:cs="Times New Roman"/>
          <w:color w:val="000000"/>
          <w:szCs w:val="21"/>
          <w:highlight w:val="none"/>
        </w:rPr>
        <w:t>要求，组织编写组广泛征求意见，修订形成</w:t>
      </w:r>
      <w:r>
        <w:rPr>
          <w:rFonts w:hint="eastAsia" w:ascii="宋体" w:hAnsi="宋体" w:eastAsia="宋体" w:cs="Times New Roman"/>
          <w:color w:val="000000"/>
          <w:szCs w:val="21"/>
          <w:highlight w:val="none"/>
        </w:rPr>
        <w:t>标准</w:t>
      </w:r>
      <w:r>
        <w:rPr>
          <w:rFonts w:ascii="宋体" w:hAnsi="宋体" w:eastAsia="宋体" w:cs="Times New Roman"/>
          <w:color w:val="000000"/>
          <w:szCs w:val="21"/>
          <w:highlight w:val="none"/>
        </w:rPr>
        <w:t>送审稿</w:t>
      </w:r>
      <w:r>
        <w:rPr>
          <w:rFonts w:hint="eastAsia" w:ascii="宋体" w:hAnsi="宋体" w:eastAsia="宋体" w:cs="Times New Roman"/>
          <w:color w:val="000000"/>
          <w:szCs w:val="21"/>
          <w:highlight w:val="none"/>
        </w:rPr>
        <w:t>，提交山东省电力</w:t>
      </w:r>
      <w:r>
        <w:rPr>
          <w:rFonts w:hint="eastAsia" w:ascii="宋体" w:hAnsi="宋体" w:eastAsia="宋体" w:cs="Times New Roman"/>
          <w:color w:val="000000"/>
          <w:szCs w:val="21"/>
          <w:highlight w:val="none"/>
          <w:lang w:val="en-US" w:eastAsia="zh-CN"/>
        </w:rPr>
        <w:t>行</w:t>
      </w:r>
      <w:r>
        <w:rPr>
          <w:rFonts w:hint="eastAsia" w:ascii="宋体" w:hAnsi="宋体" w:eastAsia="宋体" w:cs="Times New Roman"/>
          <w:color w:val="000000"/>
          <w:szCs w:val="21"/>
          <w:highlight w:val="none"/>
        </w:rPr>
        <w:t>业协会专家审查</w:t>
      </w:r>
      <w:r>
        <w:rPr>
          <w:rFonts w:ascii="宋体" w:hAnsi="宋体" w:eastAsia="宋体" w:cs="Times New Roman"/>
          <w:color w:val="000000"/>
          <w:szCs w:val="21"/>
          <w:highlight w:val="none"/>
        </w:rPr>
        <w:t>。</w:t>
      </w:r>
    </w:p>
    <w:p>
      <w:pPr>
        <w:widowControl/>
        <w:ind w:firstLine="420" w:firstLineChars="200"/>
        <w:jc w:val="left"/>
        <w:rPr>
          <w:rFonts w:ascii="宋体" w:hAnsi="宋体" w:eastAsia="宋体" w:cs="Times New Roman"/>
          <w:color w:val="000000"/>
          <w:szCs w:val="21"/>
          <w:highlight w:val="none"/>
        </w:rPr>
      </w:pPr>
      <w:r>
        <w:rPr>
          <w:rFonts w:ascii="宋体" w:hAnsi="宋体" w:eastAsia="宋体" w:cs="Times New Roman"/>
          <w:color w:val="000000"/>
          <w:szCs w:val="21"/>
          <w:highlight w:val="none"/>
        </w:rPr>
        <w:t>2023年X月，</w:t>
      </w:r>
      <w:r>
        <w:rPr>
          <w:rFonts w:hint="eastAsia" w:ascii="宋体" w:hAnsi="宋体" w:eastAsia="宋体" w:cs="Times New Roman"/>
          <w:color w:val="000000"/>
          <w:szCs w:val="21"/>
          <w:highlight w:val="none"/>
        </w:rPr>
        <w:t>根据专家审核意见、结论，形成团体标准报批稿，山东省电力</w:t>
      </w:r>
      <w:r>
        <w:rPr>
          <w:rFonts w:hint="eastAsia" w:ascii="宋体" w:hAnsi="宋体" w:eastAsia="宋体" w:cs="Times New Roman"/>
          <w:color w:val="000000"/>
          <w:szCs w:val="21"/>
          <w:highlight w:val="none"/>
          <w:lang w:val="en-US" w:eastAsia="zh-CN"/>
        </w:rPr>
        <w:t>行</w:t>
      </w:r>
      <w:r>
        <w:rPr>
          <w:rFonts w:hint="eastAsia" w:ascii="宋体" w:hAnsi="宋体" w:eastAsia="宋体" w:cs="Times New Roman"/>
          <w:color w:val="000000"/>
          <w:szCs w:val="21"/>
          <w:highlight w:val="none"/>
        </w:rPr>
        <w:t>业协会专家审查通过后编订标准编号</w:t>
      </w:r>
      <w:r>
        <w:rPr>
          <w:rFonts w:ascii="宋体" w:hAnsi="宋体" w:eastAsia="宋体" w:cs="Times New Roman"/>
          <w:color w:val="000000"/>
          <w:szCs w:val="21"/>
          <w:highlight w:val="none"/>
        </w:rPr>
        <w:t>，</w:t>
      </w:r>
      <w:r>
        <w:rPr>
          <w:rFonts w:hint="eastAsia" w:ascii="宋体" w:hAnsi="宋体" w:eastAsia="宋体" w:cs="Times New Roman"/>
          <w:color w:val="000000"/>
          <w:szCs w:val="21"/>
          <w:highlight w:val="none"/>
        </w:rPr>
        <w:t>批准发布，</w:t>
      </w:r>
      <w:r>
        <w:rPr>
          <w:rFonts w:ascii="宋体" w:hAnsi="宋体" w:eastAsia="宋体" w:cs="Times New Roman"/>
          <w:color w:val="000000"/>
          <w:szCs w:val="21"/>
          <w:highlight w:val="none"/>
        </w:rPr>
        <w:t>并</w:t>
      </w:r>
      <w:r>
        <w:rPr>
          <w:rFonts w:hint="eastAsia" w:ascii="宋体" w:hAnsi="宋体" w:eastAsia="宋体" w:cs="Times New Roman"/>
          <w:color w:val="000000"/>
          <w:szCs w:val="21"/>
          <w:highlight w:val="none"/>
        </w:rPr>
        <w:t>在全国团体标准信息平台公开本标准的基本信息</w:t>
      </w:r>
      <w:r>
        <w:rPr>
          <w:rFonts w:ascii="宋体" w:hAnsi="宋体" w:eastAsia="宋体" w:cs="Times New Roman"/>
          <w:color w:val="000000"/>
          <w:szCs w:val="21"/>
          <w:highlight w:val="none"/>
        </w:rPr>
        <w:t>。</w:t>
      </w:r>
    </w:p>
    <w:p>
      <w:pPr>
        <w:keepNext/>
        <w:keepLines/>
        <w:widowControl w:val="0"/>
        <w:spacing w:before="340" w:after="330" w:line="578" w:lineRule="auto"/>
        <w:jc w:val="both"/>
        <w:outlineLvl w:val="0"/>
        <w:rPr>
          <w:rFonts w:ascii="黑体" w:hAnsi="黑体" w:eastAsia="黑体" w:cs="Times New Roman"/>
          <w:b w:val="0"/>
          <w:bCs w:val="0"/>
          <w:kern w:val="44"/>
          <w:sz w:val="21"/>
          <w:szCs w:val="21"/>
          <w:highlight w:val="none"/>
          <w:lang w:val="en-US" w:eastAsia="zh-CN" w:bidi="ar-SA"/>
        </w:rPr>
      </w:pPr>
      <w:bookmarkStart w:id="22" w:name="_Toc31026"/>
      <w:bookmarkStart w:id="23" w:name="_Toc132559305"/>
      <w:bookmarkStart w:id="24" w:name="_Toc7631"/>
      <w:bookmarkStart w:id="25" w:name="_Toc129789556"/>
      <w:bookmarkStart w:id="26" w:name="_Toc28320"/>
      <w:bookmarkStart w:id="27" w:name="_Toc123727609"/>
      <w:r>
        <w:rPr>
          <w:rFonts w:ascii="黑体" w:hAnsi="黑体" w:eastAsia="黑体" w:cs="Times New Roman"/>
          <w:b w:val="0"/>
          <w:bCs w:val="0"/>
          <w:kern w:val="44"/>
          <w:sz w:val="21"/>
          <w:szCs w:val="21"/>
          <w:highlight w:val="none"/>
          <w:lang w:val="en-US" w:eastAsia="zh-CN" w:bidi="ar-SA"/>
        </w:rPr>
        <w:t>5  标准的结构和内容</w:t>
      </w:r>
      <w:bookmarkEnd w:id="22"/>
      <w:bookmarkEnd w:id="23"/>
      <w:bookmarkEnd w:id="24"/>
      <w:bookmarkEnd w:id="25"/>
      <w:bookmarkEnd w:id="26"/>
      <w:bookmarkEnd w:id="27"/>
    </w:p>
    <w:p>
      <w:pPr>
        <w:widowControl/>
        <w:ind w:firstLine="420" w:firstLineChars="200"/>
        <w:jc w:val="left"/>
        <w:rPr>
          <w:rFonts w:ascii="宋体" w:hAnsi="宋体" w:eastAsia="宋体" w:cs="Times New Roman"/>
          <w:color w:val="000000"/>
          <w:szCs w:val="21"/>
          <w:highlight w:val="none"/>
        </w:rPr>
      </w:pPr>
      <w:r>
        <w:rPr>
          <w:rFonts w:ascii="宋体" w:hAnsi="宋体" w:eastAsia="宋体" w:cs="Times New Roman"/>
          <w:color w:val="000000"/>
          <w:szCs w:val="21"/>
          <w:highlight w:val="none"/>
        </w:rPr>
        <w:t>本标准正文设4章，由政企网格融合</w:t>
      </w:r>
      <w:r>
        <w:rPr>
          <w:rFonts w:hint="eastAsia" w:ascii="宋体" w:hAnsi="宋体" w:eastAsia="宋体" w:cs="Times New Roman"/>
          <w:color w:val="000000"/>
          <w:szCs w:val="21"/>
          <w:highlight w:val="none"/>
        </w:rPr>
        <w:t>模式</w:t>
      </w:r>
      <w:r>
        <w:rPr>
          <w:rFonts w:ascii="宋体" w:hAnsi="宋体" w:eastAsia="宋体" w:cs="Times New Roman"/>
          <w:color w:val="000000"/>
          <w:szCs w:val="21"/>
          <w:highlight w:val="none"/>
        </w:rPr>
        <w:t>、政企网格融合</w:t>
      </w:r>
      <w:r>
        <w:rPr>
          <w:rFonts w:hint="eastAsia" w:ascii="宋体" w:hAnsi="宋体" w:eastAsia="宋体" w:cs="Times New Roman"/>
          <w:color w:val="000000"/>
          <w:szCs w:val="21"/>
          <w:highlight w:val="none"/>
        </w:rPr>
        <w:t>服务内容</w:t>
      </w:r>
      <w:r>
        <w:rPr>
          <w:rFonts w:ascii="宋体" w:hAnsi="宋体" w:eastAsia="宋体" w:cs="Times New Roman"/>
          <w:color w:val="000000"/>
          <w:szCs w:val="21"/>
          <w:highlight w:val="none"/>
        </w:rPr>
        <w:t>、政企网格融合</w:t>
      </w:r>
      <w:r>
        <w:rPr>
          <w:rFonts w:hint="eastAsia" w:ascii="宋体" w:hAnsi="宋体" w:eastAsia="宋体" w:cs="Times New Roman"/>
          <w:color w:val="000000"/>
          <w:szCs w:val="21"/>
          <w:highlight w:val="none"/>
        </w:rPr>
        <w:t>服务规范</w:t>
      </w:r>
      <w:r>
        <w:rPr>
          <w:rFonts w:ascii="宋体" w:hAnsi="宋体" w:eastAsia="宋体" w:cs="Times New Roman"/>
          <w:color w:val="000000"/>
          <w:szCs w:val="21"/>
          <w:highlight w:val="none"/>
        </w:rPr>
        <w:t>、政企网格融合</w:t>
      </w:r>
      <w:r>
        <w:rPr>
          <w:rFonts w:hint="eastAsia" w:ascii="宋体" w:hAnsi="宋体" w:eastAsia="宋体" w:cs="Times New Roman"/>
          <w:color w:val="000000"/>
          <w:szCs w:val="21"/>
          <w:highlight w:val="none"/>
        </w:rPr>
        <w:t>服务管理4个部分组成</w:t>
      </w:r>
      <w:r>
        <w:rPr>
          <w:rFonts w:ascii="宋体" w:hAnsi="宋体" w:eastAsia="宋体" w:cs="Times New Roman"/>
          <w:color w:val="000000"/>
          <w:szCs w:val="21"/>
          <w:highlight w:val="none"/>
        </w:rPr>
        <w:t>。</w:t>
      </w:r>
      <w:r>
        <w:rPr>
          <w:rFonts w:hint="eastAsia" w:ascii="宋体" w:hAnsi="宋体" w:eastAsia="宋体" w:cs="Times New Roman"/>
          <w:color w:val="000000"/>
          <w:szCs w:val="21"/>
          <w:highlight w:val="none"/>
        </w:rPr>
        <w:t>政企网格融合工作属于电力供应与服务的范畴，由各级电力企业与电力企业工作人员具体实施，需要规范人员基本要求和装备。政企网格融合可融入到电力企业日常业务开展中，需要建立持续改进机制，保障政企网格融合工作质量，促进电力供应水平与服务水平双提升。</w:t>
      </w:r>
    </w:p>
    <w:p/>
    <w:sectPr>
      <w:footerReference r:id="rId3" w:type="default"/>
      <w:footerReference r:id="rId4"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jc w:val="left"/>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5109845</wp:posOffset>
              </wp:positionH>
              <wp:positionV relativeFrom="paragraph">
                <wp:posOffset>3175</wp:posOffset>
              </wp:positionV>
              <wp:extent cx="167640" cy="25527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67790" cy="2554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fldChar w:fldCharType="begin"/>
                          </w:r>
                          <w:r>
                            <w:rPr>
                              <w:rFonts w:ascii="宋体" w:hAnsi="宋体" w:eastAsia="宋体" w:cs="Times New Roman"/>
                              <w:kern w:val="2"/>
                              <w:sz w:val="21"/>
                              <w:szCs w:val="21"/>
                              <w:lang w:val="en-US" w:eastAsia="zh-CN" w:bidi="ar-SA"/>
                            </w:rPr>
                            <w:instrText xml:space="preserve"> PAGE  \* MERGEFORMAT </w:instrText>
                          </w:r>
                          <w:r>
                            <w:rPr>
                              <w:rFonts w:ascii="宋体" w:hAnsi="宋体" w:eastAsia="宋体" w:cs="Times New Roman"/>
                              <w:kern w:val="2"/>
                              <w:sz w:val="21"/>
                              <w:szCs w:val="21"/>
                              <w:lang w:val="en-US" w:eastAsia="zh-CN" w:bidi="ar-SA"/>
                            </w:rPr>
                            <w:fldChar w:fldCharType="separate"/>
                          </w:r>
                          <w:r>
                            <w:rPr>
                              <w:rFonts w:ascii="宋体" w:hAnsi="宋体" w:eastAsia="宋体" w:cs="Times New Roman"/>
                              <w:kern w:val="2"/>
                              <w:sz w:val="21"/>
                              <w:szCs w:val="21"/>
                              <w:lang w:val="en-US" w:eastAsia="zh-CN" w:bidi="ar-SA"/>
                            </w:rPr>
                            <w:t>1</w:t>
                          </w:r>
                          <w:r>
                            <w:rPr>
                              <w:rFonts w:ascii="宋体" w:hAnsi="宋体" w:eastAsia="宋体" w:cs="Times New Roman"/>
                              <w:kern w:val="2"/>
                              <w:sz w:val="21"/>
                              <w:szCs w:val="21"/>
                              <w:lang w:val="en-US" w:eastAsia="zh-CN" w:bidi="ar-S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02.35pt;margin-top:0.25pt;height:20.1pt;width:13.2pt;mso-position-horizontal-relative:margin;z-index:251659264;mso-width-relative:page;mso-height-relative:page;" filled="f" stroked="f" coordsize="21600,21600" o:gfxdata="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xLpsK1QAAAAcBAAAPAAAAAAAAAAEAIAAAACIAAABkcnMvZG93bnJl&#10;di54bWxQSwECFAAUAAAACACHTuJANu2ifzkCAABlBAAADgAAAAAAAAABACAAAAAkAQAAZHJzL2Uy&#10;b0RvYy54bWxQSwUGAAAAAAYABgBZAQAAzwUAAAAA&#10;">
              <v:fill on="f" focussize="0,0"/>
              <v:stroke on="f" weight="0.5pt"/>
              <v:imagedata o:title=""/>
              <o:lock v:ext="edit" aspectratio="f"/>
              <v:textbox inset="0mm,0mm,0mm,0mm">
                <w:txbxContent>
                  <w:p>
                    <w:pPr>
                      <w:widowControl w:val="0"/>
                      <w:tabs>
                        <w:tab w:val="center" w:pos="4153"/>
                        <w:tab w:val="right" w:pos="8306"/>
                      </w:tabs>
                      <w:snapToGrid w:val="0"/>
                      <w:jc w:val="left"/>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fldChar w:fldCharType="begin"/>
                    </w:r>
                    <w:r>
                      <w:rPr>
                        <w:rFonts w:ascii="宋体" w:hAnsi="宋体" w:eastAsia="宋体" w:cs="Times New Roman"/>
                        <w:kern w:val="2"/>
                        <w:sz w:val="21"/>
                        <w:szCs w:val="21"/>
                        <w:lang w:val="en-US" w:eastAsia="zh-CN" w:bidi="ar-SA"/>
                      </w:rPr>
                      <w:instrText xml:space="preserve"> PAGE  \* MERGEFORMAT </w:instrText>
                    </w:r>
                    <w:r>
                      <w:rPr>
                        <w:rFonts w:ascii="宋体" w:hAnsi="宋体" w:eastAsia="宋体" w:cs="Times New Roman"/>
                        <w:kern w:val="2"/>
                        <w:sz w:val="21"/>
                        <w:szCs w:val="21"/>
                        <w:lang w:val="en-US" w:eastAsia="zh-CN" w:bidi="ar-SA"/>
                      </w:rPr>
                      <w:fldChar w:fldCharType="separate"/>
                    </w:r>
                    <w:r>
                      <w:rPr>
                        <w:rFonts w:ascii="宋体" w:hAnsi="宋体" w:eastAsia="宋体" w:cs="Times New Roman"/>
                        <w:kern w:val="2"/>
                        <w:sz w:val="21"/>
                        <w:szCs w:val="21"/>
                        <w:lang w:val="en-US" w:eastAsia="zh-CN" w:bidi="ar-SA"/>
                      </w:rPr>
                      <w:t>1</w:t>
                    </w:r>
                    <w:r>
                      <w:rPr>
                        <w:rFonts w:ascii="宋体" w:hAnsi="宋体" w:eastAsia="宋体" w:cs="Times New Roman"/>
                        <w:kern w:val="2"/>
                        <w:sz w:val="21"/>
                        <w:szCs w:val="21"/>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jc w:val="left"/>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55270" cy="29591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255494" cy="2958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fldChar w:fldCharType="begin"/>
                          </w:r>
                          <w:r>
                            <w:rPr>
                              <w:rFonts w:ascii="宋体" w:hAnsi="宋体" w:eastAsia="宋体" w:cs="Times New Roman"/>
                              <w:kern w:val="2"/>
                              <w:sz w:val="21"/>
                              <w:szCs w:val="21"/>
                              <w:lang w:val="en-US" w:eastAsia="zh-CN" w:bidi="ar-SA"/>
                            </w:rPr>
                            <w:instrText xml:space="preserve"> PAGE  \* MERGEFORMAT </w:instrText>
                          </w:r>
                          <w:r>
                            <w:rPr>
                              <w:rFonts w:ascii="宋体" w:hAnsi="宋体" w:eastAsia="宋体" w:cs="Times New Roman"/>
                              <w:kern w:val="2"/>
                              <w:sz w:val="21"/>
                              <w:szCs w:val="21"/>
                              <w:lang w:val="en-US" w:eastAsia="zh-CN" w:bidi="ar-SA"/>
                            </w:rPr>
                            <w:fldChar w:fldCharType="separate"/>
                          </w:r>
                          <w:r>
                            <w:rPr>
                              <w:rFonts w:ascii="宋体" w:hAnsi="宋体" w:eastAsia="宋体" w:cs="Times New Roman"/>
                              <w:kern w:val="2"/>
                              <w:sz w:val="21"/>
                              <w:szCs w:val="21"/>
                              <w:lang w:val="en-US" w:eastAsia="zh-CN" w:bidi="ar-SA"/>
                            </w:rPr>
                            <w:t>2</w:t>
                          </w:r>
                          <w:r>
                            <w:rPr>
                              <w:rFonts w:ascii="宋体" w:hAnsi="宋体" w:eastAsia="宋体" w:cs="Times New Roman"/>
                              <w:kern w:val="2"/>
                              <w:sz w:val="21"/>
                              <w:szCs w:val="21"/>
                              <w:lang w:val="en-US" w:eastAsia="zh-CN" w:bidi="ar-S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3.3pt;width:20.1pt;mso-position-horizontal:outside;mso-position-horizontal-relative:margin;z-index:251660288;mso-width-relative:page;mso-height-relative:page;" filled="f" stroked="f" coordsize="21600,21600" o:gfxdata="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0mz2NIAAAADAQAADwAAAAAAAAABACAAAAAiAAAAZHJzL2Rvd25yZXYu&#10;eG1sUEsBAhQAFAAAAAgAh07iQEvPPiQ6AgAAZQQAAA4AAAAAAAAAAQAgAAAAIQEAAGRycy9lMm9E&#10;b2MueG1sUEsFBgAAAAAGAAYAWQEAAM0FAAAAAA==&#10;">
              <v:fill on="f" focussize="0,0"/>
              <v:stroke on="f" weight="0.5pt"/>
              <v:imagedata o:title=""/>
              <o:lock v:ext="edit" aspectratio="f"/>
              <v:textbox inset="0mm,0mm,0mm,0mm">
                <w:txbxContent>
                  <w:p>
                    <w:pPr>
                      <w:widowControl w:val="0"/>
                      <w:tabs>
                        <w:tab w:val="center" w:pos="4153"/>
                        <w:tab w:val="right" w:pos="8306"/>
                      </w:tabs>
                      <w:snapToGrid w:val="0"/>
                      <w:jc w:val="left"/>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fldChar w:fldCharType="begin"/>
                    </w:r>
                    <w:r>
                      <w:rPr>
                        <w:rFonts w:ascii="宋体" w:hAnsi="宋体" w:eastAsia="宋体" w:cs="Times New Roman"/>
                        <w:kern w:val="2"/>
                        <w:sz w:val="21"/>
                        <w:szCs w:val="21"/>
                        <w:lang w:val="en-US" w:eastAsia="zh-CN" w:bidi="ar-SA"/>
                      </w:rPr>
                      <w:instrText xml:space="preserve"> PAGE  \* MERGEFORMAT </w:instrText>
                    </w:r>
                    <w:r>
                      <w:rPr>
                        <w:rFonts w:ascii="宋体" w:hAnsi="宋体" w:eastAsia="宋体" w:cs="Times New Roman"/>
                        <w:kern w:val="2"/>
                        <w:sz w:val="21"/>
                        <w:szCs w:val="21"/>
                        <w:lang w:val="en-US" w:eastAsia="zh-CN" w:bidi="ar-SA"/>
                      </w:rPr>
                      <w:fldChar w:fldCharType="separate"/>
                    </w:r>
                    <w:r>
                      <w:rPr>
                        <w:rFonts w:ascii="宋体" w:hAnsi="宋体" w:eastAsia="宋体" w:cs="Times New Roman"/>
                        <w:kern w:val="2"/>
                        <w:sz w:val="21"/>
                        <w:szCs w:val="21"/>
                        <w:lang w:val="en-US" w:eastAsia="zh-CN" w:bidi="ar-SA"/>
                      </w:rPr>
                      <w:t>2</w:t>
                    </w:r>
                    <w:r>
                      <w:rPr>
                        <w:rFonts w:ascii="宋体" w:hAnsi="宋体" w:eastAsia="宋体" w:cs="Times New Roman"/>
                        <w:kern w:val="2"/>
                        <w:sz w:val="21"/>
                        <w:szCs w:val="21"/>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xMjlkMzUxOWNmZGQ3YTcxODJiNWYyYmQ2ZjFlZjkifQ=="/>
  </w:docVars>
  <w:rsids>
    <w:rsidRoot w:val="00000000"/>
    <w:rsid w:val="13470F96"/>
    <w:rsid w:val="1C2908C8"/>
    <w:rsid w:val="1D650490"/>
    <w:rsid w:val="1FC67D3E"/>
    <w:rsid w:val="2C043DB7"/>
    <w:rsid w:val="2F5B3B50"/>
    <w:rsid w:val="2F9C7B3D"/>
    <w:rsid w:val="37E54061"/>
    <w:rsid w:val="37F45A74"/>
    <w:rsid w:val="3A7B1CD4"/>
    <w:rsid w:val="3BB9572C"/>
    <w:rsid w:val="3EA31321"/>
    <w:rsid w:val="445B4DCA"/>
    <w:rsid w:val="4B2E708B"/>
    <w:rsid w:val="4F2A4FB0"/>
    <w:rsid w:val="4F4E7B04"/>
    <w:rsid w:val="510650F4"/>
    <w:rsid w:val="54454483"/>
    <w:rsid w:val="58513B0F"/>
    <w:rsid w:val="5A462849"/>
    <w:rsid w:val="607344A6"/>
    <w:rsid w:val="60924A98"/>
    <w:rsid w:val="62D3360D"/>
    <w:rsid w:val="65967FE1"/>
    <w:rsid w:val="67655E11"/>
    <w:rsid w:val="687E747D"/>
    <w:rsid w:val="6ABB10E1"/>
    <w:rsid w:val="74812CFC"/>
    <w:rsid w:val="74CC2B3E"/>
    <w:rsid w:val="791F08A2"/>
    <w:rsid w:val="7A790299"/>
    <w:rsid w:val="7DDE1AB3"/>
    <w:rsid w:val="7FF72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1181</Words>
  <Characters>1243</Characters>
  <Lines>0</Lines>
  <Paragraphs>0</Paragraphs>
  <TotalTime>0</TotalTime>
  <ScaleCrop>false</ScaleCrop>
  <LinksUpToDate>false</LinksUpToDate>
  <CharactersWithSpaces>1283</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2022-06-20T00:39:00Z</dcterms:created>
  <dc:creator>24515</dc:creator>
  <cp:lastModifiedBy>唱梦</cp:lastModifiedBy>
  <dcterms:modified xsi:type="dcterms:W3CDTF">2023-04-24T05:55:46Z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8C2D2A76086A4933870B66C8A0E696DB</vt:lpwstr>
  </property>
</Properties>
</file>